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C7" w:rsidRDefault="00375654">
      <w:pPr>
        <w:pStyle w:val="Web"/>
        <w:spacing w:before="0" w:line="460" w:lineRule="exact"/>
        <w:jc w:val="center"/>
      </w:pPr>
      <w:bookmarkStart w:id="0" w:name="_GoBack"/>
      <w:bookmarkEnd w:id="0"/>
      <w:r>
        <w:rPr>
          <w:rFonts w:ascii="Garamond" w:eastAsia="標楷體" w:hAnsi="Garamond" w:cs="Arial"/>
          <w:sz w:val="40"/>
          <w:szCs w:val="40"/>
        </w:rPr>
        <w:t>學校財團法人及所設私立學校內部控制制度實施辦法修正條文</w:t>
      </w:r>
    </w:p>
    <w:p w:rsidR="00254DC7" w:rsidRDefault="00375654">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第一章　總則</w:t>
      </w:r>
    </w:p>
    <w:p w:rsidR="00254DC7" w:rsidRDefault="00375654">
      <w:pPr>
        <w:pStyle w:val="Web"/>
        <w:spacing w:line="460" w:lineRule="exact"/>
        <w:jc w:val="both"/>
      </w:pPr>
      <w:r>
        <w:rPr>
          <w:rFonts w:ascii="Garamond" w:eastAsia="標楷體" w:hAnsi="Garamond" w:cs="Arial"/>
          <w:sz w:val="28"/>
          <w:szCs w:val="28"/>
        </w:rPr>
        <w:t xml:space="preserve">第一條　　</w:t>
      </w:r>
      <w:r>
        <w:rPr>
          <w:rFonts w:ascii="標楷體" w:eastAsia="標楷體" w:hAnsi="標楷體" w:cs="Arial"/>
          <w:sz w:val="28"/>
          <w:szCs w:val="28"/>
        </w:rPr>
        <w:t>本辦法依私立學校法第五十一條第一項規定訂定之。</w:t>
      </w:r>
    </w:p>
    <w:p w:rsidR="00254DC7" w:rsidRDefault="00375654">
      <w:pPr>
        <w:pStyle w:val="Web"/>
        <w:spacing w:before="0" w:after="0" w:line="460" w:lineRule="exact"/>
        <w:ind w:left="848" w:hanging="848"/>
        <w:jc w:val="both"/>
      </w:pPr>
      <w:r>
        <w:rPr>
          <w:rFonts w:ascii="Garamond" w:eastAsia="標楷體" w:hAnsi="Garamond" w:cs="Arial"/>
          <w:sz w:val="28"/>
          <w:szCs w:val="28"/>
        </w:rPr>
        <w:t>第二條</w:t>
      </w:r>
      <w:r>
        <w:rPr>
          <w:rFonts w:ascii="Garamond" w:eastAsia="標楷體" w:hAnsi="Garamond" w:cs="Arial"/>
          <w:sz w:val="28"/>
          <w:szCs w:val="28"/>
        </w:rPr>
        <w:tab/>
      </w:r>
      <w:r>
        <w:rPr>
          <w:rFonts w:ascii="Garamond" w:eastAsia="標楷體" w:hAnsi="Garamond" w:cs="Arial"/>
          <w:sz w:val="28"/>
          <w:szCs w:val="28"/>
        </w:rPr>
        <w:t xml:space="preserve">　　</w:t>
      </w:r>
      <w:r>
        <w:rPr>
          <w:rFonts w:ascii="標楷體" w:eastAsia="標楷體" w:hAnsi="標楷體" w:cs="Arial"/>
          <w:spacing w:val="-4"/>
          <w:sz w:val="28"/>
          <w:szCs w:val="28"/>
        </w:rPr>
        <w:t>學校財團法人</w:t>
      </w:r>
      <w:bookmarkStart w:id="1" w:name="OLE_LINK41"/>
      <w:bookmarkStart w:id="2" w:name="OLE_LINK40"/>
      <w:bookmarkStart w:id="3" w:name="OLE_LINK39"/>
      <w:bookmarkStart w:id="4" w:name="OLE_LINK38"/>
      <w:r>
        <w:rPr>
          <w:rFonts w:ascii="標楷體" w:eastAsia="標楷體" w:hAnsi="標楷體" w:cs="Arial"/>
          <w:spacing w:val="-4"/>
          <w:sz w:val="28"/>
          <w:szCs w:val="28"/>
        </w:rPr>
        <w:t>（以下簡稱學校法人）</w:t>
      </w:r>
      <w:bookmarkEnd w:id="1"/>
      <w:bookmarkEnd w:id="2"/>
      <w:bookmarkEnd w:id="3"/>
      <w:bookmarkEnd w:id="4"/>
      <w:r>
        <w:rPr>
          <w:rFonts w:ascii="標楷體" w:eastAsia="標楷體" w:hAnsi="標楷體" w:cs="Arial"/>
          <w:spacing w:val="-4"/>
          <w:sz w:val="28"/>
          <w:szCs w:val="28"/>
        </w:rPr>
        <w:t>及所設私立學校（以下稱學校）應建立內部控制制度（以下簡稱本制度），藉由董事會、學校及所屬成員執行之管理過程，對學校人事、財務、營運等事項實施自我監督，並達成下列目標：</w:t>
      </w:r>
    </w:p>
    <w:p w:rsidR="00254DC7" w:rsidRDefault="00375654">
      <w:pPr>
        <w:pStyle w:val="Web"/>
        <w:numPr>
          <w:ilvl w:val="0"/>
          <w:numId w:val="16"/>
        </w:numPr>
        <w:spacing w:before="0" w:after="0" w:line="460" w:lineRule="exact"/>
        <w:ind w:left="2127" w:hanging="709"/>
        <w:jc w:val="both"/>
      </w:pPr>
      <w:r>
        <w:rPr>
          <w:rFonts w:ascii="標楷體" w:eastAsia="標楷體" w:hAnsi="標楷體" w:cs="Arial"/>
          <w:spacing w:val="-4"/>
          <w:sz w:val="28"/>
          <w:szCs w:val="28"/>
        </w:rPr>
        <w:t>營運之效果及效率，</w:t>
      </w:r>
      <w:r>
        <w:rPr>
          <w:rFonts w:ascii="Garamond" w:eastAsia="標楷體" w:hAnsi="Garamond" w:cs="Arial"/>
          <w:sz w:val="28"/>
          <w:szCs w:val="28"/>
        </w:rPr>
        <w:t>包括辦學成效及保障資產安全等目標。</w:t>
      </w:r>
    </w:p>
    <w:p w:rsidR="00254DC7" w:rsidRDefault="00375654">
      <w:pPr>
        <w:pStyle w:val="Web"/>
        <w:numPr>
          <w:ilvl w:val="0"/>
          <w:numId w:val="8"/>
        </w:numPr>
        <w:spacing w:before="0" w:after="0" w:line="460" w:lineRule="exact"/>
        <w:jc w:val="both"/>
        <w:rPr>
          <w:rFonts w:ascii="Garamond" w:eastAsia="標楷體" w:hAnsi="Garamond" w:cs="Arial"/>
          <w:sz w:val="28"/>
          <w:szCs w:val="28"/>
        </w:rPr>
      </w:pPr>
      <w:r>
        <w:rPr>
          <w:rFonts w:ascii="Garamond" w:eastAsia="標楷體" w:hAnsi="Garamond" w:cs="Arial"/>
          <w:sz w:val="28"/>
          <w:szCs w:val="28"/>
        </w:rPr>
        <w:t>報導之可靠性、及時性及透明性，其所稱之報導，包括內部及外部財務報導及非財務報導。</w:t>
      </w:r>
    </w:p>
    <w:p w:rsidR="00254DC7" w:rsidRDefault="00375654">
      <w:pPr>
        <w:pStyle w:val="Web"/>
        <w:numPr>
          <w:ilvl w:val="0"/>
          <w:numId w:val="8"/>
        </w:numPr>
        <w:spacing w:before="0" w:after="0" w:line="460" w:lineRule="exact"/>
        <w:jc w:val="both"/>
        <w:rPr>
          <w:rFonts w:ascii="Garamond" w:eastAsia="標楷體" w:hAnsi="Garamond" w:cs="Arial"/>
          <w:sz w:val="28"/>
          <w:szCs w:val="28"/>
        </w:rPr>
      </w:pPr>
      <w:r>
        <w:rPr>
          <w:rFonts w:ascii="Garamond" w:eastAsia="標楷體" w:hAnsi="Garamond" w:cs="Arial"/>
          <w:sz w:val="28"/>
          <w:szCs w:val="28"/>
        </w:rPr>
        <w:t>相關法令之遵循。</w:t>
      </w:r>
    </w:p>
    <w:p w:rsidR="00254DC7" w:rsidRDefault="00375654">
      <w:pPr>
        <w:pStyle w:val="Web"/>
        <w:spacing w:before="0" w:after="0" w:line="460" w:lineRule="exact"/>
        <w:ind w:left="850"/>
        <w:jc w:val="both"/>
      </w:pPr>
      <w:r>
        <w:rPr>
          <w:rFonts w:ascii="標楷體" w:eastAsia="標楷體" w:hAnsi="標楷體" w:cs="Arial"/>
          <w:spacing w:val="-4"/>
          <w:sz w:val="28"/>
          <w:szCs w:val="28"/>
        </w:rPr>
        <w:t xml:space="preserve">　　本制度應由學校法人及學校分別自行訂定，經學校法人董事會議通過後實施。</w:t>
      </w:r>
    </w:p>
    <w:p w:rsidR="00254DC7" w:rsidRDefault="00375654">
      <w:pPr>
        <w:pStyle w:val="Web"/>
        <w:spacing w:before="0" w:after="0" w:line="460" w:lineRule="exact"/>
        <w:ind w:left="1088" w:hanging="1088"/>
        <w:jc w:val="both"/>
      </w:pPr>
      <w:r>
        <w:rPr>
          <w:rFonts w:ascii="標楷體" w:eastAsia="標楷體" w:hAnsi="標楷體" w:cs="Arial"/>
          <w:spacing w:val="-4"/>
          <w:sz w:val="28"/>
          <w:szCs w:val="28"/>
        </w:rPr>
        <w:t>第三條　　本制度應包括下列組成要素：</w:t>
      </w:r>
    </w:p>
    <w:p w:rsidR="00254DC7" w:rsidRDefault="00375654">
      <w:pPr>
        <w:pStyle w:val="Web"/>
        <w:numPr>
          <w:ilvl w:val="0"/>
          <w:numId w:val="17"/>
        </w:numPr>
        <w:spacing w:before="0" w:after="0" w:line="460" w:lineRule="exact"/>
        <w:jc w:val="both"/>
        <w:rPr>
          <w:rFonts w:ascii="Garamond" w:eastAsia="標楷體" w:hAnsi="Garamond" w:cs="Arial"/>
          <w:sz w:val="28"/>
          <w:szCs w:val="28"/>
        </w:rPr>
      </w:pPr>
      <w:r>
        <w:rPr>
          <w:rFonts w:ascii="Garamond" w:eastAsia="標楷體" w:hAnsi="Garamond" w:cs="Arial"/>
          <w:sz w:val="28"/>
          <w:szCs w:val="28"/>
        </w:rPr>
        <w:t>控制環境：學校法人及學校設計及執行本制度之基礎，包括組織文化、誠信與道德價值、組織結構、權責分派、人力資源政策、績效衡量及獎懲等。</w:t>
      </w:r>
    </w:p>
    <w:p w:rsidR="00254DC7" w:rsidRDefault="00375654">
      <w:pPr>
        <w:pStyle w:val="Web"/>
        <w:numPr>
          <w:ilvl w:val="0"/>
          <w:numId w:val="11"/>
        </w:numPr>
        <w:spacing w:before="0" w:after="0" w:line="460" w:lineRule="exact"/>
        <w:jc w:val="both"/>
        <w:rPr>
          <w:rFonts w:ascii="Garamond" w:eastAsia="標楷體" w:hAnsi="Garamond" w:cs="Arial"/>
          <w:sz w:val="28"/>
          <w:szCs w:val="28"/>
        </w:rPr>
      </w:pPr>
      <w:r>
        <w:rPr>
          <w:rFonts w:ascii="Garamond" w:eastAsia="標楷體" w:hAnsi="Garamond" w:cs="Arial"/>
          <w:sz w:val="28"/>
          <w:szCs w:val="28"/>
        </w:rPr>
        <w:t>風險評估：學校法人及學校主管階層應先確立各項目標，並與不同層級單位相連結，同時需考慮目標之適合性，並考量內外環境改變之影響及可能發生之舞弊情事，透過適當風險管理政策及程序，進行風險辦識、分析及評估。其評估結果可協助學校法人及學校及時設計、修正及執行必要之控制作業。</w:t>
      </w:r>
    </w:p>
    <w:p w:rsidR="00254DC7" w:rsidRDefault="00375654">
      <w:pPr>
        <w:pStyle w:val="Web"/>
        <w:numPr>
          <w:ilvl w:val="0"/>
          <w:numId w:val="11"/>
        </w:numPr>
        <w:spacing w:before="0" w:after="0" w:line="460" w:lineRule="exact"/>
        <w:jc w:val="both"/>
        <w:rPr>
          <w:rFonts w:ascii="Garamond" w:eastAsia="標楷體" w:hAnsi="Garamond" w:cs="Arial"/>
          <w:sz w:val="28"/>
          <w:szCs w:val="28"/>
        </w:rPr>
      </w:pPr>
      <w:r>
        <w:rPr>
          <w:rFonts w:ascii="Garamond" w:eastAsia="標楷體" w:hAnsi="Garamond" w:cs="Arial"/>
          <w:sz w:val="28"/>
          <w:szCs w:val="28"/>
        </w:rPr>
        <w:t>控制作業：學校法人及學校依風險評估結果，採用適當政策及程序之行動，將風險控制在可承受範圍內。控制作業之執行，包括學校法人及學校所有層級、業務流程內各個階段、所有科技環境等範圍之監督及管理。</w:t>
      </w:r>
    </w:p>
    <w:p w:rsidR="00254DC7" w:rsidRDefault="00375654">
      <w:pPr>
        <w:pStyle w:val="Web"/>
        <w:numPr>
          <w:ilvl w:val="0"/>
          <w:numId w:val="11"/>
        </w:numPr>
        <w:spacing w:before="0" w:after="0" w:line="460" w:lineRule="exact"/>
        <w:jc w:val="both"/>
        <w:rPr>
          <w:rFonts w:ascii="Garamond" w:eastAsia="標楷體" w:hAnsi="Garamond" w:cs="Arial"/>
          <w:sz w:val="28"/>
          <w:szCs w:val="28"/>
        </w:rPr>
      </w:pPr>
      <w:r>
        <w:rPr>
          <w:rFonts w:ascii="Garamond" w:eastAsia="標楷體" w:hAnsi="Garamond" w:cs="Arial"/>
          <w:sz w:val="28"/>
          <w:szCs w:val="28"/>
        </w:rPr>
        <w:lastRenderedPageBreak/>
        <w:t>資訊及溝通：學校法人及學校蒐集、產生及使用與校務規劃、執</w:t>
      </w:r>
      <w:r>
        <w:rPr>
          <w:rFonts w:ascii="Garamond" w:eastAsia="標楷體" w:hAnsi="Garamond" w:cs="Arial"/>
          <w:sz w:val="28"/>
          <w:szCs w:val="28"/>
        </w:rPr>
        <w:t>行及監督有關之內外部資訊，以支持內部控制其他組成要素之持續運作，確保資訊之有效溝通，並提供資訊需求者適時取得資訊之機制。</w:t>
      </w:r>
    </w:p>
    <w:p w:rsidR="00254DC7" w:rsidRDefault="00375654">
      <w:pPr>
        <w:pStyle w:val="Web"/>
        <w:numPr>
          <w:ilvl w:val="0"/>
          <w:numId w:val="11"/>
        </w:numPr>
        <w:spacing w:before="0" w:after="0" w:line="460" w:lineRule="exact"/>
        <w:jc w:val="both"/>
        <w:rPr>
          <w:rFonts w:ascii="Garamond" w:eastAsia="標楷體" w:hAnsi="Garamond" w:cs="Arial"/>
          <w:sz w:val="28"/>
          <w:szCs w:val="28"/>
        </w:rPr>
      </w:pPr>
      <w:r>
        <w:rPr>
          <w:rFonts w:ascii="Garamond" w:eastAsia="標楷體" w:hAnsi="Garamond" w:cs="Arial"/>
          <w:sz w:val="28"/>
          <w:szCs w:val="28"/>
        </w:rPr>
        <w:t>監督作業：學校法人及學校進行下列監督作業，以確定本制度之有效性、及時性及確實性：</w:t>
      </w:r>
    </w:p>
    <w:p w:rsidR="00254DC7" w:rsidRDefault="00375654">
      <w:pPr>
        <w:pStyle w:val="Web"/>
        <w:numPr>
          <w:ilvl w:val="0"/>
          <w:numId w:val="18"/>
        </w:numPr>
        <w:spacing w:before="0" w:after="0" w:line="460" w:lineRule="exact"/>
        <w:ind w:left="2410" w:hanging="586"/>
        <w:jc w:val="both"/>
        <w:rPr>
          <w:rFonts w:ascii="標楷體" w:eastAsia="標楷體" w:hAnsi="標楷體" w:cs="Arial"/>
          <w:spacing w:val="-4"/>
          <w:sz w:val="28"/>
          <w:szCs w:val="28"/>
        </w:rPr>
      </w:pPr>
      <w:r>
        <w:rPr>
          <w:rFonts w:ascii="標楷體" w:eastAsia="標楷體" w:hAnsi="標楷體" w:cs="Arial"/>
          <w:spacing w:val="-4"/>
          <w:sz w:val="28"/>
          <w:szCs w:val="28"/>
        </w:rPr>
        <w:t>例行監督：主管階層本於職責，就分層負責授權業務執行持續性常態督導。</w:t>
      </w:r>
    </w:p>
    <w:p w:rsidR="00254DC7" w:rsidRDefault="00375654">
      <w:pPr>
        <w:pStyle w:val="Web"/>
        <w:numPr>
          <w:ilvl w:val="0"/>
          <w:numId w:val="9"/>
        </w:numPr>
        <w:spacing w:before="0" w:after="0" w:line="460" w:lineRule="exact"/>
        <w:ind w:left="2410" w:hanging="586"/>
        <w:jc w:val="both"/>
        <w:rPr>
          <w:rFonts w:ascii="標楷體" w:eastAsia="標楷體" w:hAnsi="標楷體" w:cs="Arial"/>
          <w:spacing w:val="-4"/>
          <w:sz w:val="28"/>
          <w:szCs w:val="28"/>
        </w:rPr>
      </w:pPr>
      <w:r>
        <w:rPr>
          <w:rFonts w:ascii="標楷體" w:eastAsia="標楷體" w:hAnsi="標楷體" w:cs="Arial"/>
          <w:spacing w:val="-4"/>
          <w:sz w:val="28"/>
          <w:szCs w:val="28"/>
        </w:rPr>
        <w:t>自行評估：由相關單位依職責分工，評估各組成要素運作之有效程度。</w:t>
      </w:r>
    </w:p>
    <w:p w:rsidR="00254DC7" w:rsidRDefault="00375654">
      <w:pPr>
        <w:pStyle w:val="Web"/>
        <w:numPr>
          <w:ilvl w:val="0"/>
          <w:numId w:val="9"/>
        </w:numPr>
        <w:spacing w:before="0" w:after="0" w:line="460" w:lineRule="exact"/>
        <w:ind w:left="2410" w:hanging="586"/>
        <w:jc w:val="both"/>
        <w:rPr>
          <w:rFonts w:ascii="標楷體" w:eastAsia="標楷體" w:hAnsi="標楷體" w:cs="Arial"/>
          <w:spacing w:val="-4"/>
          <w:sz w:val="28"/>
          <w:szCs w:val="28"/>
        </w:rPr>
      </w:pPr>
      <w:r>
        <w:rPr>
          <w:rFonts w:ascii="標楷體" w:eastAsia="標楷體" w:hAnsi="標楷體" w:cs="Arial"/>
          <w:spacing w:val="-4"/>
          <w:sz w:val="28"/>
          <w:szCs w:val="28"/>
        </w:rPr>
        <w:t>稽核評估：由內部稽核人員以客觀公正之立場，協助檢核內部控制實施狀況，並適時提供改善建議；發現內部控制制度缺失時，應向適當層級之主管階層、董事會及監察人報告。</w:t>
      </w:r>
    </w:p>
    <w:p w:rsidR="00254DC7" w:rsidRDefault="00375654">
      <w:pPr>
        <w:pStyle w:val="Web"/>
        <w:spacing w:before="0" w:after="0" w:line="460" w:lineRule="exact"/>
        <w:ind w:left="850"/>
        <w:jc w:val="both"/>
      </w:pPr>
      <w:r>
        <w:rPr>
          <w:rFonts w:ascii="標楷體" w:eastAsia="標楷體" w:hAnsi="標楷體" w:cs="Arial"/>
          <w:spacing w:val="-4"/>
          <w:sz w:val="28"/>
          <w:szCs w:val="28"/>
        </w:rPr>
        <w:t xml:space="preserve">　　學校法人及學校</w:t>
      </w:r>
      <w:r>
        <w:rPr>
          <w:rFonts w:ascii="標楷體" w:eastAsia="標楷體" w:hAnsi="標楷體" w:cs="Arial"/>
          <w:spacing w:val="-4"/>
          <w:sz w:val="28"/>
          <w:szCs w:val="28"/>
        </w:rPr>
        <w:t>於設計、執行或自行評估本制度時，應綜合考量前項各款組成要素，並得依實際需要自行調整必要之項目。</w:t>
      </w:r>
    </w:p>
    <w:p w:rsidR="00254DC7" w:rsidRDefault="00375654">
      <w:pPr>
        <w:pStyle w:val="Web"/>
        <w:keepNext/>
        <w:spacing w:line="460" w:lineRule="exact"/>
        <w:ind w:left="1121" w:hanging="1121"/>
        <w:jc w:val="both"/>
        <w:rPr>
          <w:rFonts w:ascii="Garamond" w:eastAsia="標楷體" w:hAnsi="Garamond" w:cs="Arial"/>
          <w:b/>
          <w:sz w:val="28"/>
          <w:szCs w:val="28"/>
        </w:rPr>
      </w:pPr>
      <w:r>
        <w:rPr>
          <w:rFonts w:ascii="Garamond" w:eastAsia="標楷體" w:hAnsi="Garamond" w:cs="Arial"/>
          <w:b/>
          <w:sz w:val="28"/>
          <w:szCs w:val="28"/>
        </w:rPr>
        <w:t>第二章　學校法人內部控制制度</w:t>
      </w:r>
    </w:p>
    <w:p w:rsidR="00254DC7" w:rsidRDefault="00375654">
      <w:pPr>
        <w:pStyle w:val="Web"/>
        <w:spacing w:before="0" w:after="0" w:line="460" w:lineRule="exact"/>
        <w:ind w:left="848" w:hanging="848"/>
        <w:jc w:val="both"/>
      </w:pPr>
      <w:r>
        <w:rPr>
          <w:rFonts w:ascii="Garamond" w:eastAsia="標楷體" w:hAnsi="Garamond" w:cs="Arial"/>
          <w:sz w:val="28"/>
          <w:szCs w:val="28"/>
        </w:rPr>
        <w:t xml:space="preserve">第四條　　</w:t>
      </w:r>
      <w:r>
        <w:rPr>
          <w:rFonts w:ascii="標楷體" w:eastAsia="標楷體" w:hAnsi="標楷體" w:cs="Arial"/>
          <w:spacing w:val="-2"/>
          <w:sz w:val="28"/>
          <w:szCs w:val="28"/>
        </w:rPr>
        <w:t>學校法人應就人事事項，訂定管理規章及設計</w:t>
      </w:r>
      <w:r>
        <w:rPr>
          <w:rFonts w:ascii="標楷體" w:eastAsia="標楷體" w:hAnsi="標楷體" w:cs="Arial"/>
          <w:sz w:val="28"/>
          <w:szCs w:val="28"/>
        </w:rPr>
        <w:t>作業</w:t>
      </w:r>
      <w:r>
        <w:rPr>
          <w:rFonts w:ascii="標楷體" w:eastAsia="標楷體" w:hAnsi="標楷體" w:cs="Arial"/>
          <w:spacing w:val="-2"/>
          <w:sz w:val="28"/>
          <w:szCs w:val="28"/>
        </w:rPr>
        <w:t>程序與內部控制點；其內容包括下</w:t>
      </w:r>
      <w:r>
        <w:rPr>
          <w:rFonts w:ascii="標楷體" w:eastAsia="標楷體" w:hAnsi="標楷體" w:cs="Arial"/>
          <w:spacing w:val="-4"/>
          <w:sz w:val="28"/>
          <w:szCs w:val="28"/>
        </w:rPr>
        <w:t>列事項：</w:t>
      </w:r>
    </w:p>
    <w:p w:rsidR="00254DC7" w:rsidRDefault="00375654">
      <w:pPr>
        <w:pStyle w:val="Web"/>
        <w:numPr>
          <w:ilvl w:val="0"/>
          <w:numId w:val="19"/>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專任董事、專任監察人之選聘及解聘。</w:t>
      </w:r>
    </w:p>
    <w:p w:rsidR="00254DC7" w:rsidRDefault="00375654">
      <w:pPr>
        <w:pStyle w:val="Web"/>
        <w:numPr>
          <w:ilvl w:val="0"/>
          <w:numId w:val="6"/>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校長選聘及解聘。</w:t>
      </w:r>
    </w:p>
    <w:p w:rsidR="00254DC7" w:rsidRDefault="00375654">
      <w:pPr>
        <w:pStyle w:val="Web"/>
        <w:numPr>
          <w:ilvl w:val="0"/>
          <w:numId w:val="6"/>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學校法人行政人員之聘僱、敘薪、出勤、差假、訓練進修、考核獎懲、待遇、福利、保險、退休、資遣及撫卹。</w:t>
      </w:r>
    </w:p>
    <w:p w:rsidR="00254DC7" w:rsidRDefault="00375654">
      <w:pPr>
        <w:pStyle w:val="Web"/>
        <w:spacing w:before="0" w:after="0" w:line="460" w:lineRule="exact"/>
        <w:ind w:left="848" w:hanging="848"/>
        <w:jc w:val="both"/>
      </w:pPr>
      <w:r>
        <w:rPr>
          <w:rFonts w:ascii="Garamond" w:eastAsia="標楷體" w:hAnsi="Garamond" w:cs="Arial"/>
          <w:sz w:val="28"/>
          <w:szCs w:val="28"/>
        </w:rPr>
        <w:t xml:space="preserve">第五條　　</w:t>
      </w:r>
      <w:r>
        <w:rPr>
          <w:rFonts w:ascii="標楷體" w:eastAsia="標楷體" w:hAnsi="標楷體" w:cs="Arial"/>
          <w:spacing w:val="-2"/>
          <w:sz w:val="28"/>
          <w:szCs w:val="28"/>
        </w:rPr>
        <w:t>學校法人應就財務事項，訂定管理規章及設計作業程序與內部控制點；其內容包括下</w:t>
      </w:r>
      <w:r>
        <w:rPr>
          <w:rFonts w:ascii="標楷體" w:eastAsia="標楷體" w:hAnsi="標楷體" w:cs="Arial"/>
          <w:spacing w:val="-4"/>
          <w:sz w:val="28"/>
          <w:szCs w:val="28"/>
        </w:rPr>
        <w:t>列事項：</w:t>
      </w:r>
    </w:p>
    <w:p w:rsidR="00254DC7" w:rsidRDefault="00375654">
      <w:pPr>
        <w:pStyle w:val="Web"/>
        <w:numPr>
          <w:ilvl w:val="0"/>
          <w:numId w:val="20"/>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董事、監察人之報酬、出席費及交通費之支給。</w:t>
      </w:r>
    </w:p>
    <w:p w:rsidR="00254DC7" w:rsidRDefault="00375654">
      <w:pPr>
        <w:pStyle w:val="Web"/>
        <w:numPr>
          <w:ilvl w:val="0"/>
          <w:numId w:val="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公債及短期票券之購買、動產購置及其他投資事項。</w:t>
      </w:r>
    </w:p>
    <w:p w:rsidR="00254DC7" w:rsidRDefault="00375654">
      <w:pPr>
        <w:pStyle w:val="Web"/>
        <w:numPr>
          <w:ilvl w:val="0"/>
          <w:numId w:val="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不動產之處分、設定負擔、購置或出租。</w:t>
      </w:r>
    </w:p>
    <w:p w:rsidR="00254DC7" w:rsidRDefault="00375654">
      <w:pPr>
        <w:pStyle w:val="Web"/>
        <w:numPr>
          <w:ilvl w:val="0"/>
          <w:numId w:val="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募款、收受捐贈、借款、資本租賃之決策、執行及記錄。</w:t>
      </w:r>
    </w:p>
    <w:p w:rsidR="00254DC7" w:rsidRDefault="00375654">
      <w:pPr>
        <w:pStyle w:val="Web"/>
        <w:numPr>
          <w:ilvl w:val="0"/>
          <w:numId w:val="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負債承諾與或有事項之管理及記錄。</w:t>
      </w:r>
    </w:p>
    <w:p w:rsidR="00254DC7" w:rsidRDefault="00375654">
      <w:pPr>
        <w:pStyle w:val="Web"/>
        <w:spacing w:before="0" w:after="0" w:line="460" w:lineRule="exact"/>
        <w:ind w:left="849" w:hanging="849"/>
        <w:jc w:val="both"/>
      </w:pPr>
      <w:r>
        <w:rPr>
          <w:rFonts w:ascii="標楷體" w:eastAsia="標楷體" w:hAnsi="標楷體" w:cs="Arial"/>
          <w:spacing w:val="-4"/>
          <w:sz w:val="28"/>
          <w:szCs w:val="28"/>
        </w:rPr>
        <w:lastRenderedPageBreak/>
        <w:t>第六條　　學校法人應就董事會及監察人運作事項，訂定管理規章及設計作程序與內部控制點；其內容包括下列事項：</w:t>
      </w:r>
    </w:p>
    <w:p w:rsidR="00254DC7" w:rsidRDefault="00375654">
      <w:pPr>
        <w:pStyle w:val="Web"/>
        <w:numPr>
          <w:ilvl w:val="0"/>
          <w:numId w:val="21"/>
        </w:numPr>
        <w:spacing w:before="0" w:after="0" w:line="460" w:lineRule="exact"/>
        <w:ind w:left="2136" w:hanging="718"/>
        <w:jc w:val="both"/>
        <w:rPr>
          <w:rFonts w:ascii="標楷體" w:eastAsia="標楷體" w:hAnsi="標楷體" w:cs="Arial"/>
          <w:spacing w:val="-4"/>
          <w:sz w:val="28"/>
          <w:szCs w:val="28"/>
        </w:rPr>
      </w:pPr>
      <w:r>
        <w:rPr>
          <w:rFonts w:ascii="標楷體" w:eastAsia="標楷體" w:hAnsi="標楷體" w:cs="Arial"/>
          <w:spacing w:val="-4"/>
          <w:sz w:val="28"/>
          <w:szCs w:val="28"/>
        </w:rPr>
        <w:t>董事長、董事候選人之提名、資格審查、改選與補選、會議通知、會議召開、開票及決議。</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監察人候選人之提名、資格審查、改選及補選。</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行使捐助章程所列董事會職權事項。</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學校法人變更登記。</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學校投資有價證券、購置動產、設立附屬機構、辦理相關事業及其他投資事項之審議。</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學校不動產之處分、設定負擔、購置或出租之審議。</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學校借款、資本租賃及累積盈餘流用事項之審議。</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學校法人及學校預算、決算之審議。</w:t>
      </w:r>
    </w:p>
    <w:p w:rsidR="00254DC7" w:rsidRDefault="00375654">
      <w:pPr>
        <w:pStyle w:val="Web"/>
        <w:numPr>
          <w:ilvl w:val="0"/>
          <w:numId w:val="1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其他經董事會會議決議應訂定之董事會及監察人運作事項。</w:t>
      </w:r>
    </w:p>
    <w:p w:rsidR="00254DC7" w:rsidRDefault="00375654">
      <w:pPr>
        <w:pStyle w:val="Web"/>
        <w:keepNext/>
        <w:spacing w:line="460" w:lineRule="exact"/>
        <w:ind w:left="1121" w:hanging="1121"/>
        <w:jc w:val="both"/>
        <w:rPr>
          <w:rFonts w:ascii="Garamond" w:eastAsia="標楷體" w:hAnsi="Garamond" w:cs="Arial"/>
          <w:b/>
          <w:sz w:val="28"/>
          <w:szCs w:val="28"/>
        </w:rPr>
      </w:pPr>
      <w:r>
        <w:rPr>
          <w:rFonts w:ascii="Garamond" w:eastAsia="標楷體" w:hAnsi="Garamond" w:cs="Arial"/>
          <w:b/>
          <w:sz w:val="28"/>
          <w:szCs w:val="28"/>
        </w:rPr>
        <w:t>第三章　學校內部控制制度</w:t>
      </w:r>
    </w:p>
    <w:p w:rsidR="00254DC7" w:rsidRDefault="00375654">
      <w:pPr>
        <w:pStyle w:val="Web"/>
        <w:spacing w:before="0" w:after="0" w:line="460" w:lineRule="exact"/>
        <w:ind w:left="1120" w:hanging="1120"/>
        <w:jc w:val="both"/>
      </w:pPr>
      <w:r>
        <w:rPr>
          <w:rFonts w:ascii="Garamond" w:eastAsia="標楷體" w:hAnsi="Garamond" w:cs="Arial"/>
          <w:sz w:val="28"/>
          <w:szCs w:val="28"/>
        </w:rPr>
        <w:t xml:space="preserve">第七條　　</w:t>
      </w:r>
      <w:r>
        <w:rPr>
          <w:rFonts w:ascii="標楷體" w:eastAsia="標楷體" w:hAnsi="標楷體" w:cs="Arial"/>
          <w:spacing w:val="-4"/>
          <w:sz w:val="28"/>
          <w:szCs w:val="28"/>
        </w:rPr>
        <w:t>學校得設內部控制委員會，辦理下列事項：</w:t>
      </w:r>
    </w:p>
    <w:p w:rsidR="00254DC7" w:rsidRDefault="00375654">
      <w:pPr>
        <w:pStyle w:val="Web"/>
        <w:numPr>
          <w:ilvl w:val="0"/>
          <w:numId w:val="22"/>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審視各項業務之風險性及重要性，並確保其合宜性。</w:t>
      </w:r>
    </w:p>
    <w:p w:rsidR="00254DC7" w:rsidRDefault="00375654">
      <w:pPr>
        <w:pStyle w:val="Web"/>
        <w:numPr>
          <w:ilvl w:val="0"/>
          <w:numId w:val="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檢討強化內部控制作業。</w:t>
      </w:r>
    </w:p>
    <w:p w:rsidR="00254DC7" w:rsidRDefault="00375654">
      <w:pPr>
        <w:pStyle w:val="Web"/>
        <w:numPr>
          <w:ilvl w:val="0"/>
          <w:numId w:val="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研訂內部控制點。</w:t>
      </w:r>
    </w:p>
    <w:p w:rsidR="00254DC7" w:rsidRDefault="00375654">
      <w:pPr>
        <w:pStyle w:val="Web"/>
        <w:spacing w:before="0" w:after="0" w:line="460" w:lineRule="exact"/>
        <w:ind w:left="850"/>
        <w:jc w:val="both"/>
        <w:rPr>
          <w:rFonts w:ascii="標楷體" w:eastAsia="標楷體" w:hAnsi="標楷體" w:cs="Arial"/>
          <w:spacing w:val="-4"/>
          <w:sz w:val="28"/>
          <w:szCs w:val="28"/>
        </w:rPr>
      </w:pPr>
      <w:r>
        <w:rPr>
          <w:rFonts w:ascii="標楷體" w:eastAsia="標楷體" w:hAnsi="標楷體" w:cs="Arial"/>
          <w:spacing w:val="-4"/>
          <w:sz w:val="28"/>
          <w:szCs w:val="28"/>
        </w:rPr>
        <w:t xml:space="preserve">　　前項內部控制委員會，學校得指定其幕僚作業單位，協調跨單位運作事宜，並由校長或其指定</w:t>
      </w:r>
      <w:r>
        <w:rPr>
          <w:rFonts w:ascii="標楷體" w:eastAsia="標楷體" w:hAnsi="標楷體" w:cs="Arial"/>
          <w:spacing w:val="-4"/>
          <w:sz w:val="28"/>
          <w:szCs w:val="28"/>
        </w:rPr>
        <w:t>之適當人員擔任召集人。</w:t>
      </w:r>
    </w:p>
    <w:p w:rsidR="00254DC7" w:rsidRDefault="00375654">
      <w:pPr>
        <w:pStyle w:val="Web"/>
        <w:spacing w:before="0" w:after="0" w:line="460" w:lineRule="exact"/>
        <w:ind w:left="850"/>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學校於設計或執行內部控制制度，應與內部稽核之監督查核功能，於組織設置上為合理劃分。</w:t>
      </w:r>
    </w:p>
    <w:p w:rsidR="00254DC7" w:rsidRDefault="00375654">
      <w:pPr>
        <w:pStyle w:val="Web"/>
        <w:spacing w:before="0" w:after="0" w:line="460" w:lineRule="exact"/>
        <w:ind w:left="848" w:hanging="848"/>
        <w:jc w:val="both"/>
      </w:pPr>
      <w:r>
        <w:rPr>
          <w:rFonts w:ascii="Garamond" w:eastAsia="標楷體" w:hAnsi="Garamond" w:cs="Arial"/>
          <w:sz w:val="28"/>
          <w:szCs w:val="28"/>
        </w:rPr>
        <w:t xml:space="preserve">第八條　　</w:t>
      </w:r>
      <w:r>
        <w:rPr>
          <w:rFonts w:ascii="標楷體" w:eastAsia="標楷體" w:hAnsi="標楷體" w:cs="Arial"/>
          <w:spacing w:val="-4"/>
          <w:sz w:val="28"/>
          <w:szCs w:val="28"/>
        </w:rPr>
        <w:t>學校應就教職員工人事事項，訂定管理規章及設計作業程序與內部控制點；其內容包括下列事項：</w:t>
      </w:r>
    </w:p>
    <w:p w:rsidR="00254DC7" w:rsidRDefault="00375654">
      <w:pPr>
        <w:pStyle w:val="Web"/>
        <w:numPr>
          <w:ilvl w:val="0"/>
          <w:numId w:val="2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聘僱、敘薪、待遇、福利、保險、退休、資遣及撫卹。</w:t>
      </w:r>
    </w:p>
    <w:p w:rsidR="00254DC7" w:rsidRDefault="00375654">
      <w:pPr>
        <w:pStyle w:val="Web"/>
        <w:numPr>
          <w:ilvl w:val="0"/>
          <w:numId w:val="7"/>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出勤、差假、訓練、進修、研究、考核及獎懲。</w:t>
      </w:r>
    </w:p>
    <w:p w:rsidR="00254DC7" w:rsidRDefault="00375654">
      <w:pPr>
        <w:pStyle w:val="Web"/>
        <w:spacing w:before="0" w:after="0" w:line="460" w:lineRule="exact"/>
        <w:ind w:left="848" w:hanging="848"/>
        <w:jc w:val="both"/>
      </w:pPr>
      <w:r>
        <w:rPr>
          <w:rFonts w:ascii="Garamond" w:eastAsia="標楷體" w:hAnsi="Garamond" w:cs="Arial"/>
          <w:sz w:val="28"/>
          <w:szCs w:val="28"/>
        </w:rPr>
        <w:t xml:space="preserve">第九條　　</w:t>
      </w:r>
      <w:r>
        <w:rPr>
          <w:rFonts w:ascii="標楷體" w:eastAsia="標楷體" w:hAnsi="標楷體" w:cs="Arial"/>
          <w:spacing w:val="-4"/>
          <w:sz w:val="28"/>
          <w:szCs w:val="28"/>
        </w:rPr>
        <w:t>學校應就財務事項，訂定管理規章及設計作業程序與內部控制點；其內容包括下列事項：</w:t>
      </w:r>
    </w:p>
    <w:p w:rsidR="00254DC7" w:rsidRDefault="00375654">
      <w:pPr>
        <w:pStyle w:val="Web"/>
        <w:numPr>
          <w:ilvl w:val="0"/>
          <w:numId w:val="24"/>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投資有價證券與其他投資之決策、買賣、保管及記錄。</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lastRenderedPageBreak/>
        <w:t>不動產之處分、設定負擔、購置或出租。動產之購置及附屬機構之設立、相關事業之辦理。</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募款、收受捐贈、借款之決策、執行及記錄。</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資本租賃之決策、執行及記錄。</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負債承諾與或有事項之管理及記錄。</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獎補助款之收支、管理、執行及記錄。</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代收款項與其他收支之審核、收支、管理及記錄。</w:t>
      </w:r>
    </w:p>
    <w:p w:rsidR="00254DC7" w:rsidRDefault="00375654">
      <w:pPr>
        <w:pStyle w:val="Web"/>
        <w:numPr>
          <w:ilvl w:val="0"/>
          <w:numId w:val="15"/>
        </w:numPr>
        <w:spacing w:before="0" w:after="0" w:line="460" w:lineRule="exact"/>
        <w:jc w:val="both"/>
      </w:pPr>
      <w:r>
        <w:rPr>
          <w:rFonts w:ascii="標楷體" w:eastAsia="標楷體" w:hAnsi="標楷體" w:cs="Arial"/>
          <w:spacing w:val="-4"/>
          <w:sz w:val="28"/>
          <w:szCs w:val="28"/>
        </w:rPr>
        <w:t>預算與決算之編製及管理，財務與非財務資訊之揭露。</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印鑑使用之管理。</w:t>
      </w:r>
    </w:p>
    <w:p w:rsidR="00254DC7" w:rsidRDefault="00375654">
      <w:pPr>
        <w:pStyle w:val="Web"/>
        <w:numPr>
          <w:ilvl w:val="0"/>
          <w:numId w:val="1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財產之管理。</w:t>
      </w:r>
    </w:p>
    <w:p w:rsidR="00254DC7" w:rsidRDefault="00375654">
      <w:pPr>
        <w:pStyle w:val="Web"/>
        <w:spacing w:before="0" w:after="0" w:line="460" w:lineRule="exact"/>
        <w:ind w:left="848" w:hanging="848"/>
        <w:jc w:val="both"/>
      </w:pPr>
      <w:r>
        <w:rPr>
          <w:rFonts w:ascii="Garamond" w:eastAsia="標楷體" w:hAnsi="Garamond" w:cs="Arial"/>
          <w:sz w:val="28"/>
          <w:szCs w:val="28"/>
        </w:rPr>
        <w:t xml:space="preserve">第十條　　</w:t>
      </w:r>
      <w:r>
        <w:rPr>
          <w:rFonts w:ascii="標楷體" w:eastAsia="標楷體" w:hAnsi="標楷體" w:cs="Arial"/>
          <w:spacing w:val="-4"/>
          <w:sz w:val="28"/>
          <w:szCs w:val="28"/>
        </w:rPr>
        <w:t>學校應就營運事項，訂定管理規章及設計作業程序與內部控制點；其內容包括下列事項：</w:t>
      </w:r>
    </w:p>
    <w:p w:rsidR="00254DC7" w:rsidRDefault="00375654">
      <w:pPr>
        <w:pStyle w:val="Web"/>
        <w:numPr>
          <w:ilvl w:val="0"/>
          <w:numId w:val="25"/>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教學。</w:t>
      </w:r>
    </w:p>
    <w:p w:rsidR="00254DC7" w:rsidRDefault="00375654">
      <w:pPr>
        <w:pStyle w:val="Web"/>
        <w:numPr>
          <w:ilvl w:val="0"/>
          <w:numId w:val="1"/>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學生。</w:t>
      </w:r>
    </w:p>
    <w:p w:rsidR="00254DC7" w:rsidRDefault="00375654">
      <w:pPr>
        <w:pStyle w:val="Web"/>
        <w:numPr>
          <w:ilvl w:val="0"/>
          <w:numId w:val="1"/>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總務。</w:t>
      </w:r>
    </w:p>
    <w:p w:rsidR="00254DC7" w:rsidRDefault="00375654">
      <w:pPr>
        <w:pStyle w:val="Web"/>
        <w:numPr>
          <w:ilvl w:val="0"/>
          <w:numId w:val="1"/>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研究發展。</w:t>
      </w:r>
    </w:p>
    <w:p w:rsidR="00254DC7" w:rsidRDefault="00375654">
      <w:pPr>
        <w:pStyle w:val="Web"/>
        <w:numPr>
          <w:ilvl w:val="0"/>
          <w:numId w:val="1"/>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產學合作。</w:t>
      </w:r>
    </w:p>
    <w:p w:rsidR="00254DC7" w:rsidRDefault="00375654">
      <w:pPr>
        <w:pStyle w:val="Web"/>
        <w:numPr>
          <w:ilvl w:val="0"/>
          <w:numId w:val="1"/>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國際交流及合作。</w:t>
      </w:r>
    </w:p>
    <w:p w:rsidR="00254DC7" w:rsidRDefault="00375654">
      <w:pPr>
        <w:pStyle w:val="Web"/>
        <w:numPr>
          <w:ilvl w:val="0"/>
          <w:numId w:val="1"/>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資訊處理。</w:t>
      </w:r>
    </w:p>
    <w:p w:rsidR="00254DC7" w:rsidRDefault="00375654">
      <w:pPr>
        <w:pStyle w:val="Web"/>
        <w:numPr>
          <w:ilvl w:val="0"/>
          <w:numId w:val="1"/>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其他學校營運事項。</w:t>
      </w:r>
    </w:p>
    <w:p w:rsidR="00254DC7" w:rsidRDefault="00375654">
      <w:pPr>
        <w:pStyle w:val="Web"/>
        <w:spacing w:before="0" w:after="0" w:line="460" w:lineRule="exact"/>
        <w:ind w:left="1134" w:hanging="1134"/>
        <w:jc w:val="both"/>
      </w:pPr>
      <w:r>
        <w:rPr>
          <w:rFonts w:ascii="Garamond" w:eastAsia="標楷體" w:hAnsi="Garamond" w:cs="Arial"/>
          <w:sz w:val="28"/>
          <w:szCs w:val="28"/>
        </w:rPr>
        <w:t>第十一條　　學校應就關係人交易，訂定管理規章及設計作業程序與內部控制點。</w:t>
      </w:r>
    </w:p>
    <w:p w:rsidR="00254DC7" w:rsidRDefault="00375654">
      <w:pPr>
        <w:pStyle w:val="Web"/>
        <w:spacing w:before="0" w:after="0" w:line="460" w:lineRule="exact"/>
        <w:ind w:left="1133"/>
        <w:jc w:val="both"/>
        <w:rPr>
          <w:rFonts w:ascii="Garamond" w:eastAsia="標楷體" w:hAnsi="Garamond" w:cs="Arial"/>
          <w:sz w:val="28"/>
          <w:szCs w:val="28"/>
        </w:rPr>
      </w:pPr>
      <w:r>
        <w:rPr>
          <w:rFonts w:ascii="Garamond" w:eastAsia="標楷體" w:hAnsi="Garamond" w:cs="Arial"/>
          <w:sz w:val="28"/>
          <w:szCs w:val="28"/>
        </w:rPr>
        <w:t xml:space="preserve">　　前項關係人交易，指學校法人或學校與下列自然人或法人間之買賣、租賃、資金借入行為：</w:t>
      </w:r>
    </w:p>
    <w:p w:rsidR="00254DC7" w:rsidRDefault="00375654">
      <w:pPr>
        <w:pStyle w:val="Web"/>
        <w:numPr>
          <w:ilvl w:val="0"/>
          <w:numId w:val="26"/>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董事、監察人或校長。</w:t>
      </w:r>
    </w:p>
    <w:p w:rsidR="00254DC7" w:rsidRDefault="00375654">
      <w:pPr>
        <w:pStyle w:val="Web"/>
        <w:numPr>
          <w:ilvl w:val="0"/>
          <w:numId w:val="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董事、監察人或校長之配偶。</w:t>
      </w:r>
    </w:p>
    <w:p w:rsidR="00254DC7" w:rsidRDefault="00375654">
      <w:pPr>
        <w:pStyle w:val="Web"/>
        <w:numPr>
          <w:ilvl w:val="0"/>
          <w:numId w:val="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董事、監察人或校長之二親等以內親屬。</w:t>
      </w:r>
    </w:p>
    <w:p w:rsidR="00254DC7" w:rsidRDefault="00375654">
      <w:pPr>
        <w:pStyle w:val="Web"/>
        <w:numPr>
          <w:ilvl w:val="0"/>
          <w:numId w:val="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由學校法人董事、監察人所擔任董（理）事長之法人。</w:t>
      </w:r>
    </w:p>
    <w:p w:rsidR="00254DC7" w:rsidRDefault="00375654">
      <w:pPr>
        <w:pStyle w:val="Web"/>
        <w:numPr>
          <w:ilvl w:val="0"/>
          <w:numId w:val="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其董（理）事、監察人（監事）與學校法人董事有二分之一以上相同之法人。</w:t>
      </w:r>
    </w:p>
    <w:p w:rsidR="00254DC7" w:rsidRDefault="00375654">
      <w:pPr>
        <w:pStyle w:val="Web"/>
        <w:spacing w:before="0" w:after="0" w:line="460" w:lineRule="exact"/>
        <w:ind w:left="1134" w:hanging="1134"/>
        <w:jc w:val="both"/>
        <w:rPr>
          <w:rFonts w:ascii="Garamond" w:eastAsia="標楷體" w:hAnsi="Garamond" w:cs="Arial"/>
          <w:sz w:val="28"/>
          <w:szCs w:val="28"/>
        </w:rPr>
      </w:pPr>
      <w:r>
        <w:rPr>
          <w:rFonts w:ascii="Garamond" w:eastAsia="標楷體" w:hAnsi="Garamond" w:cs="Arial"/>
          <w:sz w:val="28"/>
          <w:szCs w:val="28"/>
        </w:rPr>
        <w:lastRenderedPageBreak/>
        <w:t>第十二條　　學校得根據其功能、屬性、發展目標及特性，訂定下列縱向及橫向連結之循環控制作業：</w:t>
      </w:r>
    </w:p>
    <w:p w:rsidR="00254DC7" w:rsidRDefault="00375654">
      <w:pPr>
        <w:pStyle w:val="Web"/>
        <w:numPr>
          <w:ilvl w:val="0"/>
          <w:numId w:val="27"/>
        </w:numPr>
        <w:spacing w:before="0" w:after="0" w:line="460" w:lineRule="exact"/>
        <w:ind w:left="2410" w:hanging="708"/>
        <w:jc w:val="both"/>
        <w:rPr>
          <w:rFonts w:ascii="標楷體" w:eastAsia="標楷體" w:hAnsi="標楷體" w:cs="Arial"/>
          <w:spacing w:val="-4"/>
          <w:sz w:val="28"/>
          <w:szCs w:val="28"/>
        </w:rPr>
      </w:pPr>
      <w:r>
        <w:rPr>
          <w:rFonts w:ascii="標楷體" w:eastAsia="標楷體" w:hAnsi="標楷體" w:cs="Arial"/>
          <w:spacing w:val="-4"/>
          <w:sz w:val="28"/>
          <w:szCs w:val="28"/>
        </w:rPr>
        <w:t>招生循環：包括招生策</w:t>
      </w:r>
      <w:r>
        <w:rPr>
          <w:rFonts w:ascii="標楷體" w:eastAsia="標楷體" w:hAnsi="標楷體" w:cs="Arial"/>
          <w:spacing w:val="-4"/>
          <w:sz w:val="28"/>
          <w:szCs w:val="28"/>
        </w:rPr>
        <w:t>略、策略聯盟、入學管道分析、試務與宣導等之政策及程序。</w:t>
      </w:r>
    </w:p>
    <w:p w:rsidR="00254DC7" w:rsidRDefault="00375654">
      <w:pPr>
        <w:pStyle w:val="Web"/>
        <w:numPr>
          <w:ilvl w:val="0"/>
          <w:numId w:val="1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入學至畢業循環：包括註冊、學籍及成績管理、獎懲、獎助學金、休退學、畢業等之政策及程序。</w:t>
      </w:r>
    </w:p>
    <w:p w:rsidR="00254DC7" w:rsidRDefault="00375654">
      <w:pPr>
        <w:pStyle w:val="Web"/>
        <w:numPr>
          <w:ilvl w:val="0"/>
          <w:numId w:val="1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教學作業循環：包括修業規定、排課、開課、選課、實習、學分抵免等之政策及程序。</w:t>
      </w:r>
    </w:p>
    <w:p w:rsidR="00254DC7" w:rsidRDefault="00375654">
      <w:pPr>
        <w:pStyle w:val="Web"/>
        <w:numPr>
          <w:ilvl w:val="0"/>
          <w:numId w:val="1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學生輔導循環：包括學生之課外活動、社團、賃居、生活、課業、升學、就業、三級輔導與申訴處理等之政策及程序。</w:t>
      </w:r>
    </w:p>
    <w:p w:rsidR="00254DC7" w:rsidRDefault="00375654">
      <w:pPr>
        <w:pStyle w:val="Web"/>
        <w:numPr>
          <w:ilvl w:val="0"/>
          <w:numId w:val="13"/>
        </w:numPr>
        <w:spacing w:before="0" w:after="0" w:line="460" w:lineRule="exact"/>
        <w:jc w:val="both"/>
      </w:pPr>
      <w:r>
        <w:rPr>
          <w:rFonts w:ascii="標楷體" w:eastAsia="標楷體" w:hAnsi="標楷體" w:cs="Arial"/>
          <w:spacing w:val="-4"/>
          <w:sz w:val="28"/>
          <w:szCs w:val="28"/>
        </w:rPr>
        <w:t>人事管理循環：包括教職員工之招聘僱、報到、敘薪、待遇、福利、保險、退休、資遣及撫卹、職務輪調、出勤、差假、訓練、進修、考核、獎懲、薪資計算、支付與調薪等之政策及程序。</w:t>
      </w:r>
    </w:p>
    <w:p w:rsidR="00254DC7" w:rsidRDefault="00375654">
      <w:pPr>
        <w:pStyle w:val="Web"/>
        <w:numPr>
          <w:ilvl w:val="0"/>
          <w:numId w:val="1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採購及付款循環：包括供應商管理、請購、招標、比議價、訂購、預支、交貨、驗收、付款與財產保管等之政策及程序。</w:t>
      </w:r>
    </w:p>
    <w:p w:rsidR="00254DC7" w:rsidRDefault="00375654">
      <w:pPr>
        <w:pStyle w:val="Web"/>
        <w:numPr>
          <w:ilvl w:val="0"/>
          <w:numId w:val="1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不動產、建築物及設備循環：包括不動產、建築物及設備之發包、營建管理、取得、財產登錄、盤點、使用維護與報廢處分等之政策及程序。</w:t>
      </w:r>
    </w:p>
    <w:p w:rsidR="00254DC7" w:rsidRDefault="00375654">
      <w:pPr>
        <w:pStyle w:val="Web"/>
        <w:numPr>
          <w:ilvl w:val="0"/>
          <w:numId w:val="13"/>
        </w:numPr>
        <w:spacing w:before="0" w:after="0" w:line="460" w:lineRule="exact"/>
        <w:jc w:val="both"/>
      </w:pPr>
      <w:r>
        <w:rPr>
          <w:rFonts w:ascii="標楷體" w:eastAsia="標楷體" w:hAnsi="標楷體" w:cs="Arial"/>
          <w:spacing w:val="-4"/>
          <w:sz w:val="28"/>
          <w:szCs w:val="28"/>
        </w:rPr>
        <w:t>融資循環：包括借款、還款、租賃等資金融通事項之授權、執行與記錄等之政策及程序。</w:t>
      </w:r>
    </w:p>
    <w:p w:rsidR="00254DC7" w:rsidRDefault="00375654">
      <w:pPr>
        <w:pStyle w:val="Web"/>
        <w:numPr>
          <w:ilvl w:val="0"/>
          <w:numId w:val="13"/>
        </w:numPr>
        <w:spacing w:before="0" w:after="0" w:line="460" w:lineRule="exact"/>
        <w:jc w:val="both"/>
      </w:pPr>
      <w:r>
        <w:rPr>
          <w:rFonts w:ascii="標楷體" w:eastAsia="標楷體" w:hAnsi="標楷體" w:cs="Arial"/>
          <w:spacing w:val="-4"/>
          <w:sz w:val="28"/>
          <w:szCs w:val="28"/>
        </w:rPr>
        <w:t>投資循環：包括投資有價證券（股票、基金、債券等金融商品）、附屬機構、衍生企業及其他投資決策之授權、執行與記錄等之政策及程序。</w:t>
      </w:r>
    </w:p>
    <w:p w:rsidR="00254DC7" w:rsidRDefault="00375654">
      <w:pPr>
        <w:pStyle w:val="Web"/>
        <w:numPr>
          <w:ilvl w:val="0"/>
          <w:numId w:val="13"/>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資訊管理循環：包括資訊取得、資料輸入、資料存取、檔案管理、個人資料保護、</w:t>
      </w:r>
      <w:r>
        <w:rPr>
          <w:rFonts w:ascii="標楷體" w:eastAsia="標楷體" w:hAnsi="標楷體" w:cs="Arial"/>
          <w:spacing w:val="-4"/>
          <w:sz w:val="28"/>
          <w:szCs w:val="28"/>
        </w:rPr>
        <w:t>資通安全、資安檢查等之政策及程序。</w:t>
      </w:r>
    </w:p>
    <w:p w:rsidR="00254DC7" w:rsidRDefault="00375654">
      <w:pPr>
        <w:pStyle w:val="Web"/>
        <w:spacing w:before="0" w:after="0" w:line="460" w:lineRule="exact"/>
        <w:ind w:firstLine="1360"/>
        <w:jc w:val="both"/>
        <w:rPr>
          <w:rFonts w:ascii="標楷體" w:eastAsia="標楷體" w:hAnsi="標楷體" w:cs="Arial"/>
          <w:spacing w:val="-4"/>
          <w:sz w:val="28"/>
          <w:szCs w:val="28"/>
        </w:rPr>
      </w:pPr>
      <w:r>
        <w:rPr>
          <w:rFonts w:ascii="標楷體" w:eastAsia="標楷體" w:hAnsi="標楷體" w:cs="Arial"/>
          <w:spacing w:val="-4"/>
          <w:sz w:val="28"/>
          <w:szCs w:val="28"/>
        </w:rPr>
        <w:t>學校得依實際運作需要，自行調整必要之循環控制作業。</w:t>
      </w:r>
    </w:p>
    <w:p w:rsidR="00254DC7" w:rsidRDefault="00375654">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lastRenderedPageBreak/>
        <w:t>第四章　內部控制制度之檢核</w:t>
      </w:r>
    </w:p>
    <w:p w:rsidR="00254DC7" w:rsidRDefault="00375654">
      <w:pPr>
        <w:pStyle w:val="Web"/>
        <w:spacing w:before="0" w:after="0" w:line="460" w:lineRule="exact"/>
        <w:ind w:left="1134" w:hanging="1134"/>
        <w:jc w:val="both"/>
      </w:pPr>
      <w:r>
        <w:rPr>
          <w:rFonts w:ascii="Garamond" w:eastAsia="標楷體" w:hAnsi="Garamond" w:cs="Arial"/>
          <w:sz w:val="28"/>
          <w:szCs w:val="28"/>
        </w:rPr>
        <w:t>第十三條　　學校法人及學校應實施內部稽核，協助董事會、校長檢核本制度之有效程度，衡量學校法人及學校營運之效果及效率，適時提供改進建議，確保本制度得以持續並有效實施。</w:t>
      </w:r>
    </w:p>
    <w:p w:rsidR="00254DC7" w:rsidRDefault="00375654">
      <w:pPr>
        <w:pStyle w:val="Web"/>
        <w:spacing w:before="0" w:after="0" w:line="460" w:lineRule="exact"/>
        <w:ind w:left="1134" w:hanging="1134"/>
        <w:jc w:val="both"/>
      </w:pPr>
      <w:r>
        <w:rPr>
          <w:rFonts w:ascii="Garamond" w:eastAsia="標楷體" w:hAnsi="Garamond" w:cs="Arial"/>
          <w:sz w:val="28"/>
          <w:szCs w:val="28"/>
        </w:rPr>
        <w:t>第十四條　　學校法人及學校應分別訂定內部稽核實施辦法，並至少包括下列項目：</w:t>
      </w:r>
    </w:p>
    <w:p w:rsidR="00254DC7" w:rsidRDefault="00375654">
      <w:pPr>
        <w:pStyle w:val="Web"/>
        <w:numPr>
          <w:ilvl w:val="0"/>
          <w:numId w:val="28"/>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內部稽核之實施目的。</w:t>
      </w:r>
    </w:p>
    <w:p w:rsidR="00254DC7" w:rsidRDefault="00375654">
      <w:pPr>
        <w:pStyle w:val="Web"/>
        <w:numPr>
          <w:ilvl w:val="0"/>
          <w:numId w:val="4"/>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內部稽核之定位、組成、職權及責任。</w:t>
      </w:r>
    </w:p>
    <w:p w:rsidR="00254DC7" w:rsidRDefault="00375654">
      <w:pPr>
        <w:pStyle w:val="Web"/>
        <w:numPr>
          <w:ilvl w:val="0"/>
          <w:numId w:val="4"/>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釐定稽核項目、時間、程序及執行方式。</w:t>
      </w:r>
    </w:p>
    <w:p w:rsidR="00254DC7" w:rsidRDefault="00375654">
      <w:pPr>
        <w:pStyle w:val="Web"/>
        <w:spacing w:before="0" w:after="0" w:line="460" w:lineRule="exact"/>
        <w:ind w:left="1134" w:hanging="1134"/>
        <w:jc w:val="both"/>
      </w:pPr>
      <w:r>
        <w:rPr>
          <w:rFonts w:ascii="Garamond" w:eastAsia="標楷體" w:hAnsi="Garamond" w:cs="Arial"/>
          <w:sz w:val="28"/>
          <w:szCs w:val="28"/>
        </w:rPr>
        <w:t xml:space="preserve">第十五條　　</w:t>
      </w:r>
      <w:r>
        <w:rPr>
          <w:rFonts w:ascii="標楷體" w:eastAsia="標楷體" w:hAnsi="標楷體" w:cs="Arial"/>
          <w:spacing w:val="-4"/>
          <w:sz w:val="28"/>
          <w:szCs w:val="28"/>
        </w:rPr>
        <w:t>學校法人應置專職或兼職稽核人員，或指派學校稽核</w:t>
      </w:r>
      <w:r>
        <w:rPr>
          <w:rFonts w:ascii="標楷體" w:eastAsia="標楷體" w:hAnsi="標楷體" w:cs="Arial"/>
          <w:spacing w:val="-4"/>
          <w:sz w:val="28"/>
          <w:szCs w:val="28"/>
        </w:rPr>
        <w:t>人員兼任，辦理學校法人稽核業務。</w:t>
      </w:r>
    </w:p>
    <w:p w:rsidR="00254DC7" w:rsidRDefault="00375654">
      <w:pPr>
        <w:pStyle w:val="Web"/>
        <w:spacing w:before="0" w:after="0" w:line="460" w:lineRule="exact"/>
        <w:ind w:left="1133"/>
        <w:jc w:val="both"/>
      </w:pPr>
      <w:r>
        <w:rPr>
          <w:rFonts w:ascii="標楷體" w:eastAsia="標楷體" w:hAnsi="標楷體" w:cs="Arial"/>
          <w:spacing w:val="-4"/>
          <w:sz w:val="28"/>
          <w:szCs w:val="28"/>
        </w:rPr>
        <w:t xml:space="preserve">　　學校年度總收入在新臺幣二十億元以上，或學生人數在二萬人以上者，應依學校規模、校務情況及管理需要，配置隸屬於校長之專任稽核人員一人至數人，執行內部稽核業務；必要時，得設專責稽核單位，並置稽核主管一人。</w:t>
      </w:r>
    </w:p>
    <w:p w:rsidR="00254DC7" w:rsidRDefault="00375654">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年度總收入未達新臺幣二十億元且學生人數未達二萬人者，得準用前項規定，或置隸屬於校長之兼任稽核人員，執行內部稽核業務；高級中等以下學校得委任非辦理學校法人或學校該年度財務簽證之會計師，執行內部稽核業務。</w:t>
      </w:r>
    </w:p>
    <w:p w:rsidR="00254DC7" w:rsidRDefault="00375654">
      <w:pPr>
        <w:pStyle w:val="Web"/>
        <w:spacing w:before="0" w:after="0" w:line="460" w:lineRule="exact"/>
        <w:ind w:left="1134" w:hanging="1134"/>
        <w:jc w:val="both"/>
      </w:pPr>
      <w:r>
        <w:rPr>
          <w:rFonts w:ascii="Garamond" w:eastAsia="標楷體" w:hAnsi="Garamond" w:cs="Arial"/>
          <w:sz w:val="28"/>
          <w:szCs w:val="28"/>
        </w:rPr>
        <w:t xml:space="preserve">第十六條　　</w:t>
      </w:r>
      <w:r>
        <w:rPr>
          <w:rFonts w:ascii="標楷體" w:eastAsia="標楷體" w:hAnsi="標楷體" w:cs="Arial"/>
          <w:spacing w:val="-4"/>
          <w:sz w:val="28"/>
          <w:szCs w:val="28"/>
        </w:rPr>
        <w:t>學校法人及學校之稽核人員或委任之會計師，應依規定分別對學校法人、學校內部控制進行稽核，以衡量其對現行人事、財務與營運所定政策、作業程序之有效性及遵循程度，並不得牴觸會計職掌；其職權如下：</w:t>
      </w:r>
    </w:p>
    <w:p w:rsidR="00254DC7" w:rsidRDefault="00375654">
      <w:pPr>
        <w:pStyle w:val="Web"/>
        <w:numPr>
          <w:ilvl w:val="0"/>
          <w:numId w:val="29"/>
        </w:numPr>
        <w:spacing w:before="0" w:after="0" w:line="460" w:lineRule="exact"/>
        <w:jc w:val="both"/>
      </w:pPr>
      <w:r>
        <w:rPr>
          <w:rFonts w:ascii="標楷體" w:eastAsia="標楷體" w:hAnsi="標楷體" w:cs="Arial"/>
          <w:spacing w:val="-4"/>
          <w:sz w:val="28"/>
          <w:szCs w:val="28"/>
        </w:rPr>
        <w:t>人事、財務、營運等活動之事後查核。</w:t>
      </w:r>
    </w:p>
    <w:p w:rsidR="00254DC7" w:rsidRDefault="00375654">
      <w:pPr>
        <w:pStyle w:val="Web"/>
        <w:numPr>
          <w:ilvl w:val="0"/>
          <w:numId w:val="10"/>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現金出納處理之事後查核。</w:t>
      </w:r>
    </w:p>
    <w:p w:rsidR="00254DC7" w:rsidRDefault="00375654">
      <w:pPr>
        <w:pStyle w:val="Web"/>
        <w:numPr>
          <w:ilvl w:val="0"/>
          <w:numId w:val="10"/>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學校現金、銀行存款及有價證券之盤點。</w:t>
      </w:r>
    </w:p>
    <w:p w:rsidR="00254DC7" w:rsidRDefault="00375654">
      <w:pPr>
        <w:pStyle w:val="Web"/>
        <w:numPr>
          <w:ilvl w:val="0"/>
          <w:numId w:val="10"/>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財務上增進效率與減少不經濟支出之查核及建議。</w:t>
      </w:r>
    </w:p>
    <w:p w:rsidR="00254DC7" w:rsidRDefault="00375654">
      <w:pPr>
        <w:pStyle w:val="Web"/>
        <w:numPr>
          <w:ilvl w:val="0"/>
          <w:numId w:val="10"/>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專案稽核事項。</w:t>
      </w:r>
    </w:p>
    <w:p w:rsidR="00254DC7" w:rsidRDefault="00375654">
      <w:pPr>
        <w:pStyle w:val="Web"/>
        <w:spacing w:before="0" w:after="0" w:line="460" w:lineRule="exact"/>
        <w:ind w:left="1134" w:hanging="1134"/>
        <w:jc w:val="both"/>
      </w:pPr>
      <w:r>
        <w:rPr>
          <w:rFonts w:ascii="Garamond" w:eastAsia="標楷體" w:hAnsi="Garamond" w:cs="Arial"/>
          <w:sz w:val="28"/>
          <w:szCs w:val="28"/>
        </w:rPr>
        <w:lastRenderedPageBreak/>
        <w:t xml:space="preserve">第十七條　　</w:t>
      </w:r>
      <w:r>
        <w:rPr>
          <w:rFonts w:ascii="標楷體" w:eastAsia="標楷體" w:hAnsi="標楷體" w:cs="Arial"/>
          <w:spacing w:val="-4"/>
          <w:sz w:val="28"/>
          <w:szCs w:val="28"/>
        </w:rPr>
        <w:t>學校法人及學校稽核人員或委任之會計師，應依風險評估結果，分別擬訂稽核計畫。學校法人稽核計畫應經董事會議通過，學校稽核計畫應經校長核定；修正時，亦同。</w:t>
      </w:r>
    </w:p>
    <w:p w:rsidR="00254DC7" w:rsidRDefault="00375654">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稽核人員或委任之會計師，應依前項所定稽核計畫，據以稽核內部控制有效執行情形。</w:t>
      </w:r>
    </w:p>
    <w:p w:rsidR="00254DC7" w:rsidRDefault="00375654">
      <w:pPr>
        <w:pStyle w:val="Web"/>
        <w:spacing w:before="0" w:after="0" w:line="460" w:lineRule="exact"/>
        <w:ind w:left="1134" w:hanging="1134"/>
        <w:jc w:val="both"/>
      </w:pPr>
      <w:r>
        <w:rPr>
          <w:rFonts w:ascii="Garamond" w:eastAsia="標楷體" w:hAnsi="Garamond" w:cs="Arial"/>
          <w:sz w:val="28"/>
          <w:szCs w:val="28"/>
        </w:rPr>
        <w:t xml:space="preserve">第十八條　　</w:t>
      </w:r>
      <w:r>
        <w:rPr>
          <w:rFonts w:ascii="標楷體" w:eastAsia="標楷體" w:hAnsi="標楷體" w:cs="Arial"/>
          <w:spacing w:val="-4"/>
          <w:sz w:val="28"/>
          <w:szCs w:val="28"/>
        </w:rPr>
        <w:t>學校法人及學校稽核人員或委任之會計師於稽核時所發現之本制度缺失、異常事項及其他缺失事項，應於年度稽核報告中據實揭露，檢附工作底稿及相關資料，作成稽核報告並定期追蹤。</w:t>
      </w:r>
    </w:p>
    <w:p w:rsidR="00254DC7" w:rsidRDefault="00375654">
      <w:pPr>
        <w:pStyle w:val="Web"/>
        <w:spacing w:before="0" w:after="0" w:line="460" w:lineRule="exact"/>
        <w:ind w:firstLine="1132"/>
        <w:jc w:val="both"/>
        <w:rPr>
          <w:rFonts w:ascii="標楷體" w:eastAsia="標楷體" w:hAnsi="標楷體" w:cs="Arial"/>
          <w:spacing w:val="-4"/>
          <w:sz w:val="28"/>
          <w:szCs w:val="28"/>
        </w:rPr>
      </w:pPr>
      <w:r>
        <w:rPr>
          <w:rFonts w:ascii="標楷體" w:eastAsia="標楷體" w:hAnsi="標楷體" w:cs="Arial"/>
          <w:spacing w:val="-4"/>
          <w:sz w:val="28"/>
          <w:szCs w:val="28"/>
        </w:rPr>
        <w:t xml:space="preserve">　　前項所定其他缺失事項，包括如下：</w:t>
      </w:r>
    </w:p>
    <w:p w:rsidR="00254DC7" w:rsidRDefault="00375654">
      <w:pPr>
        <w:pStyle w:val="Web"/>
        <w:numPr>
          <w:ilvl w:val="0"/>
          <w:numId w:val="30"/>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政府機關檢查所發現之缺失。</w:t>
      </w:r>
    </w:p>
    <w:p w:rsidR="00254DC7" w:rsidRDefault="00375654">
      <w:pPr>
        <w:pStyle w:val="Web"/>
        <w:numPr>
          <w:ilvl w:val="0"/>
          <w:numId w:val="14"/>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會計師於財務查核簽證或專案查核所發現之缺失。</w:t>
      </w:r>
    </w:p>
    <w:p w:rsidR="00254DC7" w:rsidRDefault="00375654">
      <w:pPr>
        <w:pStyle w:val="Web"/>
        <w:numPr>
          <w:ilvl w:val="0"/>
          <w:numId w:val="14"/>
        </w:numPr>
        <w:spacing w:before="0" w:after="0" w:line="460" w:lineRule="exact"/>
        <w:jc w:val="both"/>
        <w:rPr>
          <w:rFonts w:ascii="標楷體" w:eastAsia="標楷體" w:hAnsi="標楷體" w:cs="Arial"/>
          <w:spacing w:val="-4"/>
          <w:sz w:val="28"/>
          <w:szCs w:val="28"/>
        </w:rPr>
      </w:pPr>
      <w:r>
        <w:rPr>
          <w:rFonts w:ascii="標楷體" w:eastAsia="標楷體" w:hAnsi="標楷體" w:cs="Arial"/>
          <w:spacing w:val="-4"/>
          <w:sz w:val="28"/>
          <w:szCs w:val="28"/>
        </w:rPr>
        <w:t>其他缺失。</w:t>
      </w:r>
    </w:p>
    <w:p w:rsidR="00254DC7" w:rsidRDefault="00375654">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第一項之稽核報告、追蹤報告、工作底稿及相關資料，應至少保存五年。</w:t>
      </w:r>
    </w:p>
    <w:p w:rsidR="00254DC7" w:rsidRDefault="00375654">
      <w:pPr>
        <w:pStyle w:val="Web"/>
        <w:spacing w:before="0" w:after="0" w:line="460" w:lineRule="exact"/>
        <w:ind w:left="1134" w:hanging="1134"/>
        <w:jc w:val="both"/>
      </w:pPr>
      <w:r>
        <w:rPr>
          <w:rFonts w:ascii="Garamond" w:eastAsia="標楷體" w:hAnsi="Garamond" w:cs="Arial"/>
          <w:sz w:val="28"/>
          <w:szCs w:val="28"/>
        </w:rPr>
        <w:t xml:space="preserve">第十九條　　</w:t>
      </w:r>
      <w:r>
        <w:rPr>
          <w:rFonts w:ascii="標楷體" w:eastAsia="標楷體" w:hAnsi="標楷體" w:cs="Arial"/>
          <w:spacing w:val="-4"/>
          <w:sz w:val="28"/>
          <w:szCs w:val="28"/>
        </w:rPr>
        <w:t>學校法人稽核人員或委任之會計師應定期將學校法人稽核報告及追蹤報告送董事會，並將副本陳送監察人查閱。但發現重大違規情事，或學校法人或學校有受重大損害之虞時，應立即作成稽核報告，提報董事會，並將副本陳送監察人查閱。</w:t>
      </w:r>
    </w:p>
    <w:p w:rsidR="00254DC7" w:rsidRDefault="00375654">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稽核人員或委任之會計師應定期將學校稽核報告及追蹤報告送校長核閱，並將副本陳送監察人查閱。但如發現重大違規情事，對學校法人或學校有受重大損害之虞時，應立即作成稽核報告陳送校長核閱，校長接獲報告後，應立即評估改善並送董事會，且將副本陳送監察人查閱。</w:t>
      </w:r>
    </w:p>
    <w:p w:rsidR="00254DC7" w:rsidRDefault="00375654">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監察人接獲學校法人或學校稽核報告，對學校法</w:t>
      </w:r>
      <w:r>
        <w:rPr>
          <w:rFonts w:ascii="標楷體" w:eastAsia="標楷體" w:hAnsi="標楷體" w:cs="Arial"/>
          <w:spacing w:val="-4"/>
          <w:sz w:val="28"/>
          <w:szCs w:val="28"/>
        </w:rPr>
        <w:t>人或學校重大違規情事，或對學校法人或學校有受重大損害之虞時，應於接獲報告後十日內，函報學校法人及學校主管機關。</w:t>
      </w:r>
    </w:p>
    <w:p w:rsidR="00254DC7" w:rsidRDefault="00375654">
      <w:pPr>
        <w:pStyle w:val="Web"/>
        <w:spacing w:line="460" w:lineRule="exact"/>
        <w:ind w:left="1134" w:hanging="1134"/>
        <w:jc w:val="both"/>
      </w:pPr>
      <w:r>
        <w:rPr>
          <w:rFonts w:ascii="Garamond" w:eastAsia="標楷體" w:hAnsi="Garamond" w:cs="Arial"/>
          <w:sz w:val="28"/>
          <w:szCs w:val="28"/>
        </w:rPr>
        <w:lastRenderedPageBreak/>
        <w:t xml:space="preserve">第二十條　　</w:t>
      </w:r>
      <w:r>
        <w:rPr>
          <w:rFonts w:ascii="標楷體" w:eastAsia="標楷體" w:hAnsi="標楷體" w:cs="Arial"/>
          <w:spacing w:val="2"/>
          <w:sz w:val="28"/>
          <w:szCs w:val="28"/>
        </w:rPr>
        <w:t>學校法人及學校之稽核人員或委任會計師執行稽核業務時，得請學校法人及學校相關業務承辦單位或人員，提供相關帳冊、憑證、文件及其他稽核所需之資料。</w:t>
      </w:r>
    </w:p>
    <w:p w:rsidR="00254DC7" w:rsidRDefault="00375654">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第五章　附則</w:t>
      </w:r>
    </w:p>
    <w:p w:rsidR="00254DC7" w:rsidRDefault="00375654">
      <w:pPr>
        <w:pStyle w:val="Web"/>
        <w:spacing w:before="0" w:after="0" w:line="460" w:lineRule="exact"/>
        <w:ind w:left="1417" w:hanging="1417"/>
        <w:jc w:val="both"/>
      </w:pPr>
      <w:r>
        <w:rPr>
          <w:rFonts w:ascii="Garamond" w:eastAsia="標楷體" w:hAnsi="Garamond" w:cs="Arial"/>
          <w:sz w:val="28"/>
          <w:szCs w:val="28"/>
        </w:rPr>
        <w:t>第二十一條　　學校之附屬機構及相關事業，除另有規定外，應比照本辦法，建立本制度。</w:t>
      </w:r>
    </w:p>
    <w:p w:rsidR="00254DC7" w:rsidRDefault="00375654">
      <w:pPr>
        <w:pStyle w:val="Web"/>
        <w:spacing w:before="0" w:after="0" w:line="460" w:lineRule="exact"/>
        <w:ind w:left="1417" w:hanging="1417"/>
        <w:jc w:val="both"/>
      </w:pPr>
      <w:r>
        <w:rPr>
          <w:rFonts w:ascii="Garamond" w:eastAsia="標楷體" w:hAnsi="Garamond" w:cs="Arial"/>
          <w:sz w:val="28"/>
          <w:szCs w:val="28"/>
        </w:rPr>
        <w:t>第二十二條　　學校法人、學校、學校之附屬機構及相關事業，應定期檢討及修正本制度。</w:t>
      </w:r>
    </w:p>
    <w:p w:rsidR="00254DC7" w:rsidRDefault="00375654">
      <w:pPr>
        <w:pStyle w:val="Web"/>
        <w:spacing w:before="0" w:after="0" w:line="460" w:lineRule="exact"/>
        <w:ind w:left="1400" w:hanging="1400"/>
        <w:jc w:val="both"/>
      </w:pPr>
      <w:r>
        <w:rPr>
          <w:rFonts w:ascii="Garamond" w:eastAsia="標楷體" w:hAnsi="Garamond" w:cs="Arial"/>
          <w:sz w:val="28"/>
          <w:szCs w:val="28"/>
        </w:rPr>
        <w:t>第二十三條　　本辦法自發布日施行。</w:t>
      </w:r>
    </w:p>
    <w:sectPr w:rsidR="00254DC7">
      <w:headerReference w:type="default" r:id="rId8"/>
      <w:footerReference w:type="default" r:id="rId9"/>
      <w:pgSz w:w="11906" w:h="16838"/>
      <w:pgMar w:top="1418" w:right="1418" w:bottom="1418" w:left="1701" w:header="680" w:footer="68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54" w:rsidRDefault="00375654">
      <w:pPr>
        <w:rPr>
          <w:rFonts w:hint="eastAsia"/>
        </w:rPr>
      </w:pPr>
      <w:r>
        <w:separator/>
      </w:r>
    </w:p>
  </w:endnote>
  <w:endnote w:type="continuationSeparator" w:id="0">
    <w:p w:rsidR="00375654" w:rsidRDefault="003756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Default="00375654">
    <w:pPr>
      <w:pStyle w:val="a6"/>
      <w:tabs>
        <w:tab w:val="clear" w:pos="4153"/>
        <w:tab w:val="clear" w:pos="8306"/>
      </w:tabs>
      <w:jc w:val="center"/>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4A78F8">
      <w:rPr>
        <w:rFonts w:ascii="Calibri" w:hAnsi="Calibri" w:cs="Calibri"/>
        <w:noProof/>
      </w:rPr>
      <w:t>2</w:t>
    </w:r>
    <w:r>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54" w:rsidRDefault="00375654">
      <w:pPr>
        <w:rPr>
          <w:rFonts w:hint="eastAsia"/>
        </w:rPr>
      </w:pPr>
      <w:r>
        <w:rPr>
          <w:color w:val="000000"/>
        </w:rPr>
        <w:separator/>
      </w:r>
    </w:p>
  </w:footnote>
  <w:footnote w:type="continuationSeparator" w:id="0">
    <w:p w:rsidR="00375654" w:rsidRDefault="0037565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4A" w:rsidRDefault="00375654">
    <w:pPr>
      <w:pStyle w:val="a5"/>
      <w:tabs>
        <w:tab w:val="clear" w:pos="4153"/>
        <w:tab w:val="clear" w:pos="8306"/>
      </w:tabs>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B7E"/>
    <w:multiLevelType w:val="multilevel"/>
    <w:tmpl w:val="692C4D56"/>
    <w:styleLink w:val="WW8Num15"/>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9475D5"/>
    <w:multiLevelType w:val="multilevel"/>
    <w:tmpl w:val="70783174"/>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7C94EE8"/>
    <w:multiLevelType w:val="multilevel"/>
    <w:tmpl w:val="C0DE9078"/>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3850CF1"/>
    <w:multiLevelType w:val="multilevel"/>
    <w:tmpl w:val="72D6EF42"/>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9D41A5E"/>
    <w:multiLevelType w:val="multilevel"/>
    <w:tmpl w:val="67D4AF7E"/>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4A62CBF"/>
    <w:multiLevelType w:val="multilevel"/>
    <w:tmpl w:val="9782BD6C"/>
    <w:styleLink w:val="WW8Num10"/>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7307E0F"/>
    <w:multiLevelType w:val="multilevel"/>
    <w:tmpl w:val="C7081922"/>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7F72ED5"/>
    <w:multiLevelType w:val="multilevel"/>
    <w:tmpl w:val="95B8293A"/>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D8423CC"/>
    <w:multiLevelType w:val="multilevel"/>
    <w:tmpl w:val="1B5C04CA"/>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47D4495B"/>
    <w:multiLevelType w:val="multilevel"/>
    <w:tmpl w:val="E58CEFEE"/>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4A8E5BA5"/>
    <w:multiLevelType w:val="multilevel"/>
    <w:tmpl w:val="03C62B50"/>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85A2E4A"/>
    <w:multiLevelType w:val="multilevel"/>
    <w:tmpl w:val="1EDC1FCC"/>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E003F7E"/>
    <w:multiLevelType w:val="multilevel"/>
    <w:tmpl w:val="EF18FCEA"/>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6F322B28"/>
    <w:multiLevelType w:val="multilevel"/>
    <w:tmpl w:val="8EB2B13E"/>
    <w:styleLink w:val="WW8Num13"/>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EBC4263"/>
    <w:multiLevelType w:val="multilevel"/>
    <w:tmpl w:val="22B28598"/>
    <w:styleLink w:val="WW8Num8"/>
    <w:lvl w:ilvl="0">
      <w:start w:val="1"/>
      <w:numFmt w:val="japaneseCounting"/>
      <w:lvlText w:val="%1、"/>
      <w:lvlJc w:val="left"/>
      <w:rPr>
        <w:rFonts w:ascii="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9"/>
  </w:num>
  <w:num w:numId="2">
    <w:abstractNumId w:val="2"/>
  </w:num>
  <w:num w:numId="3">
    <w:abstractNumId w:val="12"/>
  </w:num>
  <w:num w:numId="4">
    <w:abstractNumId w:val="3"/>
  </w:num>
  <w:num w:numId="5">
    <w:abstractNumId w:val="8"/>
  </w:num>
  <w:num w:numId="6">
    <w:abstractNumId w:val="1"/>
  </w:num>
  <w:num w:numId="7">
    <w:abstractNumId w:val="10"/>
  </w:num>
  <w:num w:numId="8">
    <w:abstractNumId w:val="14"/>
  </w:num>
  <w:num w:numId="9">
    <w:abstractNumId w:val="11"/>
  </w:num>
  <w:num w:numId="10">
    <w:abstractNumId w:val="5"/>
  </w:num>
  <w:num w:numId="11">
    <w:abstractNumId w:val="6"/>
  </w:num>
  <w:num w:numId="12">
    <w:abstractNumId w:val="7"/>
  </w:num>
  <w:num w:numId="13">
    <w:abstractNumId w:val="13"/>
  </w:num>
  <w:num w:numId="14">
    <w:abstractNumId w:val="4"/>
  </w:num>
  <w:num w:numId="15">
    <w:abstractNumId w:val="0"/>
  </w:num>
  <w:num w:numId="16">
    <w:abstractNumId w:val="14"/>
    <w:lvlOverride w:ilvl="0">
      <w:startOverride w:val="1"/>
    </w:lvlOverride>
  </w:num>
  <w:num w:numId="17">
    <w:abstractNumId w:val="6"/>
    <w:lvlOverride w:ilvl="0">
      <w:startOverride w:val="1"/>
    </w:lvlOverride>
  </w:num>
  <w:num w:numId="18">
    <w:abstractNumId w:val="1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7"/>
    <w:lvlOverride w:ilvl="0">
      <w:startOverride w:val="1"/>
    </w:lvlOverride>
  </w:num>
  <w:num w:numId="22">
    <w:abstractNumId w:val="8"/>
    <w:lvlOverride w:ilvl="0">
      <w:startOverride w:val="1"/>
    </w:lvlOverride>
  </w:num>
  <w:num w:numId="23">
    <w:abstractNumId w:val="10"/>
    <w:lvlOverride w:ilvl="0">
      <w:startOverride w:val="1"/>
    </w:lvlOverride>
  </w:num>
  <w:num w:numId="24">
    <w:abstractNumId w:val="0"/>
    <w:lvlOverride w:ilvl="0">
      <w:startOverride w:val="1"/>
    </w:lvlOverride>
  </w:num>
  <w:num w:numId="25">
    <w:abstractNumId w:val="9"/>
    <w:lvlOverride w:ilvl="0">
      <w:startOverride w:val="1"/>
    </w:lvlOverride>
  </w:num>
  <w:num w:numId="26">
    <w:abstractNumId w:val="12"/>
    <w:lvlOverride w:ilvl="0">
      <w:startOverride w:val="1"/>
    </w:lvlOverride>
  </w:num>
  <w:num w:numId="27">
    <w:abstractNumId w:val="13"/>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4DC7"/>
    <w:rsid w:val="00254DC7"/>
    <w:rsid w:val="00375654"/>
    <w:rsid w:val="004A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新細明體, PMingLiU" w:hAnsi="新細明體, PMingLiU" w:cs="新細明體, PMingLiU"/>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標楷體"/>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標楷體"/>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pple-style-span">
    <w:name w:val="apple-style-span"/>
    <w:basedOn w:val="a0"/>
  </w:style>
  <w:style w:type="character" w:customStyle="1" w:styleId="a8">
    <w:name w:val="頁首 字元"/>
    <w:rPr>
      <w:kern w:val="3"/>
    </w:rPr>
  </w:style>
  <w:style w:type="character" w:customStyle="1" w:styleId="a9">
    <w:name w:val="頁尾 字元"/>
    <w:rPr>
      <w:kern w:val="3"/>
    </w:rPr>
  </w:style>
  <w:style w:type="character" w:styleId="aa">
    <w:name w:val="page number"/>
    <w:basedOn w:val="a0"/>
  </w:style>
  <w:style w:type="character" w:customStyle="1" w:styleId="ab">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新細明體, PMingLiU" w:hAnsi="新細明體, PMingLiU" w:cs="新細明體, PMingLiU"/>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標楷體"/>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標楷體"/>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pple-style-span">
    <w:name w:val="apple-style-span"/>
    <w:basedOn w:val="a0"/>
  </w:style>
  <w:style w:type="character" w:customStyle="1" w:styleId="a8">
    <w:name w:val="頁首 字元"/>
    <w:rPr>
      <w:kern w:val="3"/>
    </w:rPr>
  </w:style>
  <w:style w:type="character" w:customStyle="1" w:styleId="a9">
    <w:name w:val="頁尾 字元"/>
    <w:rPr>
      <w:kern w:val="3"/>
    </w:rPr>
  </w:style>
  <w:style w:type="character" w:styleId="aa">
    <w:name w:val="page number"/>
    <w:basedOn w:val="a0"/>
  </w:style>
  <w:style w:type="character" w:customStyle="1" w:styleId="ab">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8</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學校財團法人及所設私立學校內部控制制度實施辦法</dc:title>
  <dc:creator>user</dc:creator>
  <cp:lastModifiedBy>TPCU</cp:lastModifiedBy>
  <cp:revision>1</cp:revision>
  <cp:lastPrinted>2017-05-05T17:02:00Z</cp:lastPrinted>
  <dcterms:created xsi:type="dcterms:W3CDTF">2010-02-02T10:09:00Z</dcterms:created>
  <dcterms:modified xsi:type="dcterms:W3CDTF">2017-05-17T05:57:00Z</dcterms:modified>
</cp:coreProperties>
</file>