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B2E" w:rsidRPr="00332ED4" w:rsidRDefault="00B65B2E" w:rsidP="00EC1F40">
      <w:pPr>
        <w:widowControl/>
        <w:tabs>
          <w:tab w:val="left" w:pos="1262"/>
        </w:tabs>
        <w:spacing w:after="75" w:line="312" w:lineRule="auto"/>
        <w:jc w:val="center"/>
        <w:rPr>
          <w:rFonts w:ascii="標楷體" w:eastAsia="標楷體" w:hAnsi="標楷體" w:cs="新細明體"/>
          <w:b/>
          <w:kern w:val="0"/>
          <w:sz w:val="32"/>
          <w:szCs w:val="32"/>
        </w:rPr>
      </w:pPr>
      <w:r w:rsidRPr="00332ED4">
        <w:rPr>
          <w:rFonts w:ascii="標楷體" w:eastAsia="標楷體" w:hAnsi="標楷體" w:cs="新細明體" w:hint="eastAsia"/>
          <w:b/>
          <w:kern w:val="0"/>
          <w:sz w:val="32"/>
          <w:szCs w:val="32"/>
        </w:rPr>
        <w:t>專科學校法施行細則</w:t>
      </w:r>
      <w:r w:rsidR="001F5920" w:rsidRPr="00332ED4">
        <w:rPr>
          <w:rFonts w:ascii="標楷體" w:eastAsia="標楷體" w:hAnsi="標楷體" w:cs="新細明體" w:hint="eastAsia"/>
          <w:b/>
          <w:kern w:val="0"/>
          <w:sz w:val="32"/>
          <w:szCs w:val="32"/>
        </w:rPr>
        <w:t>修正條文</w:t>
      </w:r>
    </w:p>
    <w:p w:rsidR="009A3FD5" w:rsidRPr="00332ED4" w:rsidRDefault="00EC1F40" w:rsidP="001D3397">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851" w:hanging="851"/>
        <w:jc w:val="both"/>
        <w:rPr>
          <w:rFonts w:ascii="標楷體" w:eastAsia="標楷體" w:hAnsi="標楷體"/>
          <w:sz w:val="28"/>
          <w:szCs w:val="28"/>
        </w:rPr>
      </w:pPr>
      <w:r w:rsidRPr="00332ED4">
        <w:rPr>
          <w:rFonts w:ascii="標楷體" w:eastAsia="標楷體" w:hAnsi="標楷體" w:hint="eastAsia"/>
          <w:sz w:val="28"/>
          <w:szCs w:val="28"/>
        </w:rPr>
        <w:t xml:space="preserve">  </w:t>
      </w:r>
      <w:r w:rsidR="00332ED4">
        <w:rPr>
          <w:rFonts w:ascii="標楷體" w:eastAsia="標楷體" w:hAnsi="標楷體" w:hint="eastAsia"/>
          <w:sz w:val="28"/>
          <w:szCs w:val="28"/>
        </w:rPr>
        <w:t xml:space="preserve">  </w:t>
      </w:r>
      <w:r w:rsidR="00B65B2E" w:rsidRPr="00332ED4">
        <w:rPr>
          <w:rFonts w:ascii="標楷體" w:eastAsia="標楷體" w:hAnsi="標楷體" w:hint="eastAsia"/>
          <w:sz w:val="28"/>
          <w:szCs w:val="28"/>
        </w:rPr>
        <w:t>本細則依專科學校法（以下簡稱本法）第四十八條規定訂定</w:t>
      </w:r>
      <w:r w:rsidR="00615219" w:rsidRPr="00332ED4">
        <w:rPr>
          <w:rFonts w:ascii="標楷體" w:eastAsia="標楷體" w:hAnsi="標楷體" w:hint="eastAsia"/>
          <w:sz w:val="28"/>
          <w:szCs w:val="28"/>
        </w:rPr>
        <w:t>之。</w:t>
      </w:r>
    </w:p>
    <w:p w:rsidR="009A3FD5" w:rsidRPr="00332ED4" w:rsidRDefault="00EC1F40" w:rsidP="001D3397">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851" w:hanging="851"/>
        <w:jc w:val="both"/>
        <w:rPr>
          <w:rFonts w:ascii="標楷體" w:eastAsia="標楷體" w:hAnsi="標楷體"/>
          <w:sz w:val="28"/>
          <w:szCs w:val="28"/>
        </w:rPr>
      </w:pPr>
      <w:r w:rsidRPr="00332ED4">
        <w:rPr>
          <w:rFonts w:ascii="標楷體" w:eastAsia="標楷體" w:hAnsi="標楷體" w:hint="eastAsia"/>
          <w:sz w:val="28"/>
          <w:szCs w:val="28"/>
        </w:rPr>
        <w:t xml:space="preserve"> </w:t>
      </w:r>
      <w:r w:rsidR="00332ED4">
        <w:rPr>
          <w:rFonts w:ascii="標楷體" w:eastAsia="標楷體" w:hAnsi="標楷體" w:hint="eastAsia"/>
          <w:sz w:val="28"/>
          <w:szCs w:val="28"/>
        </w:rPr>
        <w:t xml:space="preserve">  </w:t>
      </w:r>
      <w:r w:rsidRPr="00332ED4">
        <w:rPr>
          <w:rFonts w:ascii="標楷體" w:eastAsia="標楷體" w:hAnsi="標楷體" w:hint="eastAsia"/>
          <w:sz w:val="28"/>
          <w:szCs w:val="28"/>
        </w:rPr>
        <w:t xml:space="preserve"> </w:t>
      </w:r>
      <w:r w:rsidR="00342F8A" w:rsidRPr="00332ED4">
        <w:rPr>
          <w:rFonts w:ascii="標楷體" w:eastAsia="標楷體" w:hAnsi="標楷體" w:hint="eastAsia"/>
          <w:sz w:val="28"/>
          <w:szCs w:val="28"/>
        </w:rPr>
        <w:t>本法第十三條第一項所定專科學校副校長，得以契約方式進用校外人士擔任。</w:t>
      </w:r>
    </w:p>
    <w:p w:rsidR="009A3FD5" w:rsidRPr="00332ED4" w:rsidRDefault="00EC1F40" w:rsidP="001D3397">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851" w:hanging="851"/>
        <w:jc w:val="both"/>
        <w:rPr>
          <w:rFonts w:ascii="標楷體" w:eastAsia="標楷體" w:hAnsi="標楷體"/>
          <w:sz w:val="28"/>
          <w:szCs w:val="28"/>
        </w:rPr>
      </w:pPr>
      <w:r w:rsidRPr="00332ED4">
        <w:rPr>
          <w:rFonts w:ascii="標楷體" w:eastAsia="標楷體" w:hAnsi="標楷體" w:hint="eastAsia"/>
          <w:sz w:val="28"/>
          <w:szCs w:val="28"/>
        </w:rPr>
        <w:t xml:space="preserve">  </w:t>
      </w:r>
      <w:r w:rsidR="00332ED4">
        <w:rPr>
          <w:rFonts w:ascii="標楷體" w:eastAsia="標楷體" w:hAnsi="標楷體" w:hint="eastAsia"/>
          <w:sz w:val="28"/>
          <w:szCs w:val="28"/>
        </w:rPr>
        <w:t xml:space="preserve">  </w:t>
      </w:r>
      <w:r w:rsidR="00342F8A" w:rsidRPr="00332ED4">
        <w:rPr>
          <w:rFonts w:ascii="標楷體" w:eastAsia="標楷體" w:hAnsi="標楷體" w:hint="eastAsia"/>
          <w:sz w:val="28"/>
          <w:szCs w:val="28"/>
        </w:rPr>
        <w:t>本法第十七條第三項所定</w:t>
      </w:r>
      <w:r w:rsidR="00342F8A" w:rsidRPr="00332ED4">
        <w:rPr>
          <w:rFonts w:ascii="標楷體" w:eastAsia="標楷體" w:hAnsi="標楷體"/>
          <w:sz w:val="28"/>
          <w:szCs w:val="28"/>
        </w:rPr>
        <w:t>達一定規模、學務繁重之科，</w:t>
      </w:r>
      <w:r w:rsidR="00342F8A" w:rsidRPr="00332ED4">
        <w:rPr>
          <w:rFonts w:ascii="標楷體" w:eastAsia="標楷體" w:hAnsi="標楷體" w:hint="eastAsia"/>
          <w:sz w:val="28"/>
          <w:szCs w:val="28"/>
        </w:rPr>
        <w:t>其認定基準，由各專科學校組織規程定之。</w:t>
      </w:r>
    </w:p>
    <w:p w:rsidR="009A3FD5" w:rsidRPr="00332ED4" w:rsidRDefault="00EC1F40" w:rsidP="001D3397">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851" w:hanging="851"/>
        <w:jc w:val="both"/>
        <w:rPr>
          <w:rFonts w:ascii="標楷體" w:eastAsia="標楷體" w:hAnsi="標楷體"/>
          <w:sz w:val="28"/>
          <w:szCs w:val="28"/>
        </w:rPr>
      </w:pPr>
      <w:r w:rsidRPr="00332ED4">
        <w:rPr>
          <w:rFonts w:ascii="標楷體" w:eastAsia="標楷體" w:hAnsi="標楷體" w:hint="eastAsia"/>
          <w:sz w:val="28"/>
          <w:szCs w:val="28"/>
        </w:rPr>
        <w:t xml:space="preserve">  </w:t>
      </w:r>
      <w:r w:rsidR="00332ED4">
        <w:rPr>
          <w:rFonts w:ascii="標楷體" w:eastAsia="標楷體" w:hAnsi="標楷體" w:hint="eastAsia"/>
          <w:sz w:val="28"/>
          <w:szCs w:val="28"/>
        </w:rPr>
        <w:t xml:space="preserve">  </w:t>
      </w:r>
      <w:r w:rsidR="00342F8A" w:rsidRPr="00332ED4">
        <w:rPr>
          <w:rFonts w:ascii="標楷體" w:eastAsia="標楷體" w:hAnsi="標楷體" w:hint="eastAsia"/>
          <w:sz w:val="28"/>
          <w:szCs w:val="28"/>
        </w:rPr>
        <w:t>專科學校教職員之員額編制，由各專科學校擬訂員額編制表，國立、私立者，報教育部（以下簡稱本部）核定後實施；直轄市立者，依所屬直轄市政府規定辦理。</w:t>
      </w:r>
    </w:p>
    <w:p w:rsidR="009A3FD5" w:rsidRPr="00332ED4" w:rsidRDefault="00EC1F40" w:rsidP="001D3397">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851" w:hanging="851"/>
        <w:jc w:val="both"/>
        <w:rPr>
          <w:rFonts w:ascii="標楷體" w:eastAsia="標楷體" w:hAnsi="標楷體"/>
          <w:sz w:val="28"/>
          <w:szCs w:val="28"/>
        </w:rPr>
      </w:pPr>
      <w:r w:rsidRPr="00332ED4">
        <w:rPr>
          <w:rFonts w:ascii="標楷體" w:eastAsia="標楷體" w:hAnsi="標楷體" w:hint="eastAsia"/>
          <w:sz w:val="28"/>
          <w:szCs w:val="28"/>
        </w:rPr>
        <w:t xml:space="preserve">  </w:t>
      </w:r>
      <w:r w:rsidR="00332ED4">
        <w:rPr>
          <w:rFonts w:ascii="標楷體" w:eastAsia="標楷體" w:hAnsi="標楷體" w:hint="eastAsia"/>
          <w:sz w:val="28"/>
          <w:szCs w:val="28"/>
        </w:rPr>
        <w:t xml:space="preserve">  </w:t>
      </w:r>
      <w:r w:rsidR="00342F8A" w:rsidRPr="00332ED4">
        <w:rPr>
          <w:rFonts w:ascii="標楷體" w:eastAsia="標楷體" w:hAnsi="標楷體" w:hint="eastAsia"/>
          <w:sz w:val="28"/>
          <w:szCs w:val="28"/>
        </w:rPr>
        <w:t>本法第二十五條第一項所定長期聘任，其聘期由各專科學校定之。</w:t>
      </w:r>
      <w:r w:rsidR="009A3FD5" w:rsidRPr="00332ED4">
        <w:rPr>
          <w:rFonts w:ascii="標楷體" w:eastAsia="標楷體" w:hAnsi="標楷體"/>
          <w:sz w:val="28"/>
          <w:szCs w:val="28"/>
        </w:rPr>
        <w:br/>
      </w:r>
      <w:r w:rsidRPr="00332ED4">
        <w:rPr>
          <w:rFonts w:ascii="標楷體" w:eastAsia="標楷體" w:hAnsi="標楷體" w:hint="eastAsia"/>
          <w:sz w:val="28"/>
          <w:szCs w:val="28"/>
        </w:rPr>
        <w:t xml:space="preserve">    </w:t>
      </w:r>
      <w:r w:rsidR="00342F8A" w:rsidRPr="00332ED4">
        <w:rPr>
          <w:rFonts w:ascii="標楷體" w:eastAsia="標楷體" w:hAnsi="標楷體" w:hint="eastAsia"/>
          <w:sz w:val="28"/>
          <w:szCs w:val="28"/>
        </w:rPr>
        <w:t>專科學校應依教師法及本法第二十八條教師評鑑規定，訂定其教師解聘、停聘及不續聘之規定。</w:t>
      </w:r>
    </w:p>
    <w:p w:rsidR="009A3FD5" w:rsidRPr="00332ED4" w:rsidRDefault="00EC1F40" w:rsidP="001D3397">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851" w:hanging="851"/>
        <w:jc w:val="both"/>
        <w:rPr>
          <w:rFonts w:ascii="標楷體" w:eastAsia="標楷體" w:hAnsi="標楷體"/>
          <w:sz w:val="28"/>
          <w:szCs w:val="28"/>
        </w:rPr>
      </w:pPr>
      <w:r w:rsidRPr="00332ED4">
        <w:rPr>
          <w:rFonts w:ascii="標楷體" w:eastAsia="標楷體" w:hAnsi="標楷體" w:hint="eastAsia"/>
          <w:sz w:val="28"/>
          <w:szCs w:val="28"/>
        </w:rPr>
        <w:t xml:space="preserve">  </w:t>
      </w:r>
      <w:r w:rsidR="00332ED4">
        <w:rPr>
          <w:rFonts w:ascii="標楷體" w:eastAsia="標楷體" w:hAnsi="標楷體" w:hint="eastAsia"/>
          <w:sz w:val="28"/>
          <w:szCs w:val="28"/>
        </w:rPr>
        <w:t xml:space="preserve">  </w:t>
      </w:r>
      <w:r w:rsidR="00342F8A" w:rsidRPr="00332ED4">
        <w:rPr>
          <w:rFonts w:ascii="標楷體" w:eastAsia="標楷體" w:hAnsi="標楷體" w:hint="eastAsia"/>
          <w:sz w:val="28"/>
          <w:szCs w:val="28"/>
        </w:rPr>
        <w:t>專科學校專任教師之基本授課時數，由各專科學校定之。</w:t>
      </w:r>
    </w:p>
    <w:p w:rsidR="009A3FD5" w:rsidRPr="00332ED4" w:rsidRDefault="00EC1F40" w:rsidP="001D3397">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851" w:hanging="851"/>
        <w:jc w:val="both"/>
        <w:rPr>
          <w:rFonts w:ascii="標楷體" w:eastAsia="標楷體" w:hAnsi="標楷體"/>
          <w:sz w:val="28"/>
          <w:szCs w:val="28"/>
        </w:rPr>
      </w:pPr>
      <w:r w:rsidRPr="00332ED4">
        <w:rPr>
          <w:rFonts w:ascii="標楷體" w:eastAsia="標楷體" w:hAnsi="標楷體" w:hint="eastAsia"/>
          <w:sz w:val="28"/>
          <w:szCs w:val="28"/>
        </w:rPr>
        <w:t xml:space="preserve"> </w:t>
      </w:r>
      <w:r w:rsidR="00332ED4">
        <w:rPr>
          <w:rFonts w:ascii="標楷體" w:eastAsia="標楷體" w:hAnsi="標楷體" w:hint="eastAsia"/>
          <w:sz w:val="28"/>
          <w:szCs w:val="28"/>
        </w:rPr>
        <w:t xml:space="preserve">  </w:t>
      </w:r>
      <w:r w:rsidRPr="00332ED4">
        <w:rPr>
          <w:rFonts w:ascii="標楷體" w:eastAsia="標楷體" w:hAnsi="標楷體" w:hint="eastAsia"/>
          <w:sz w:val="28"/>
          <w:szCs w:val="28"/>
        </w:rPr>
        <w:t xml:space="preserve"> </w:t>
      </w:r>
      <w:r w:rsidR="00342F8A" w:rsidRPr="00332ED4">
        <w:rPr>
          <w:rFonts w:ascii="標楷體" w:eastAsia="標楷體" w:hAnsi="標楷體" w:hint="eastAsia"/>
          <w:sz w:val="28"/>
          <w:szCs w:val="28"/>
        </w:rPr>
        <w:t>專科學校依本法第三十一條第一項規定招收轉學生，以第一學年之第一學期及最後一學年之第二學期以外之學期為限。但學生因特殊事故必須轉學，符合學校學則規定者，不在此限。</w:t>
      </w:r>
      <w:r w:rsidR="009A3FD5" w:rsidRPr="00332ED4">
        <w:rPr>
          <w:rFonts w:ascii="標楷體" w:eastAsia="標楷體" w:hAnsi="標楷體"/>
          <w:sz w:val="28"/>
          <w:szCs w:val="28"/>
        </w:rPr>
        <w:br/>
      </w:r>
      <w:r w:rsidR="008C68CE">
        <w:rPr>
          <w:rFonts w:ascii="標楷體" w:eastAsia="標楷體" w:hAnsi="標楷體" w:hint="eastAsia"/>
          <w:sz w:val="28"/>
          <w:szCs w:val="28"/>
        </w:rPr>
        <w:t xml:space="preserve">    </w:t>
      </w:r>
      <w:r w:rsidR="00342F8A" w:rsidRPr="00332ED4">
        <w:rPr>
          <w:rFonts w:ascii="標楷體" w:eastAsia="標楷體" w:hAnsi="標楷體" w:hint="eastAsia"/>
          <w:sz w:val="28"/>
          <w:szCs w:val="28"/>
        </w:rPr>
        <w:t>五年制專科學校前三年級得招收高級中等學校學生，四年級、五年級及二年制專科學校得招收大學肄業生。</w:t>
      </w:r>
    </w:p>
    <w:p w:rsidR="009A3FD5" w:rsidRPr="00332ED4" w:rsidRDefault="00EC1F40" w:rsidP="001D3397">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851" w:hanging="851"/>
        <w:jc w:val="both"/>
        <w:rPr>
          <w:rFonts w:ascii="標楷體" w:eastAsia="標楷體" w:hAnsi="標楷體"/>
          <w:sz w:val="28"/>
          <w:szCs w:val="28"/>
        </w:rPr>
      </w:pPr>
      <w:r w:rsidRPr="00332ED4">
        <w:rPr>
          <w:rFonts w:ascii="標楷體" w:eastAsia="標楷體" w:hAnsi="標楷體" w:hint="eastAsia"/>
          <w:sz w:val="28"/>
          <w:szCs w:val="28"/>
        </w:rPr>
        <w:t xml:space="preserve">  </w:t>
      </w:r>
      <w:r w:rsidR="00332ED4">
        <w:rPr>
          <w:rFonts w:ascii="標楷體" w:eastAsia="標楷體" w:hAnsi="標楷體" w:hint="eastAsia"/>
          <w:sz w:val="28"/>
          <w:szCs w:val="28"/>
        </w:rPr>
        <w:t xml:space="preserve">  </w:t>
      </w:r>
      <w:r w:rsidR="00342F8A" w:rsidRPr="00332ED4">
        <w:rPr>
          <w:rFonts w:ascii="標楷體" w:eastAsia="標楷體" w:hAnsi="標楷體" w:hint="eastAsia"/>
          <w:sz w:val="28"/>
          <w:szCs w:val="28"/>
        </w:rPr>
        <w:t>專科學校或聯合招生委員會應依本法第三十一條第二項所定事項，擬訂招生規定，報本部核定後，訂定招生簡章。</w:t>
      </w:r>
      <w:r w:rsidR="009A3FD5" w:rsidRPr="00332ED4">
        <w:rPr>
          <w:rFonts w:ascii="標楷體" w:eastAsia="標楷體" w:hAnsi="標楷體"/>
          <w:sz w:val="28"/>
          <w:szCs w:val="28"/>
        </w:rPr>
        <w:br/>
      </w:r>
      <w:r w:rsidR="00342F8A" w:rsidRPr="00332ED4">
        <w:rPr>
          <w:rFonts w:ascii="標楷體" w:eastAsia="標楷體" w:hAnsi="標楷體" w:hint="eastAsia"/>
          <w:sz w:val="28"/>
          <w:szCs w:val="28"/>
        </w:rPr>
        <w:t>前項招生規定及涉及考生權益事項，應於招生簡章中明定。</w:t>
      </w:r>
    </w:p>
    <w:p w:rsidR="009A3FD5" w:rsidRPr="00332ED4" w:rsidRDefault="00EC1F40" w:rsidP="001D3397">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851" w:hanging="851"/>
        <w:jc w:val="both"/>
        <w:rPr>
          <w:rFonts w:ascii="標楷體" w:eastAsia="標楷體" w:hAnsi="標楷體"/>
          <w:sz w:val="28"/>
          <w:szCs w:val="28"/>
        </w:rPr>
      </w:pPr>
      <w:r w:rsidRPr="00332ED4">
        <w:rPr>
          <w:rFonts w:ascii="標楷體" w:eastAsia="標楷體" w:hAnsi="標楷體" w:hint="eastAsia"/>
          <w:sz w:val="28"/>
          <w:szCs w:val="28"/>
        </w:rPr>
        <w:t xml:space="preserve"> </w:t>
      </w:r>
      <w:r w:rsidR="00332ED4">
        <w:rPr>
          <w:rFonts w:ascii="標楷體" w:eastAsia="標楷體" w:hAnsi="標楷體" w:hint="eastAsia"/>
          <w:sz w:val="28"/>
          <w:szCs w:val="28"/>
        </w:rPr>
        <w:t xml:space="preserve">  </w:t>
      </w:r>
      <w:r w:rsidRPr="00332ED4">
        <w:rPr>
          <w:rFonts w:ascii="標楷體" w:eastAsia="標楷體" w:hAnsi="標楷體" w:hint="eastAsia"/>
          <w:sz w:val="28"/>
          <w:szCs w:val="28"/>
        </w:rPr>
        <w:t xml:space="preserve"> </w:t>
      </w:r>
      <w:r w:rsidR="00342F8A" w:rsidRPr="00332ED4">
        <w:rPr>
          <w:rFonts w:ascii="標楷體" w:eastAsia="標楷體" w:hAnsi="標楷體" w:hint="eastAsia"/>
          <w:sz w:val="28"/>
          <w:szCs w:val="28"/>
        </w:rPr>
        <w:t>本法第三十三條第二項所定學分之計算，原則以授課滿十八小時為一學分。</w:t>
      </w:r>
      <w:r w:rsidR="009A3FD5" w:rsidRPr="00332ED4">
        <w:rPr>
          <w:rFonts w:ascii="標楷體" w:eastAsia="標楷體" w:hAnsi="標楷體" w:hint="eastAsia"/>
          <w:sz w:val="28"/>
          <w:szCs w:val="28"/>
        </w:rPr>
        <w:br/>
      </w:r>
      <w:r w:rsidRPr="00332ED4">
        <w:rPr>
          <w:rFonts w:ascii="標楷體" w:eastAsia="標楷體" w:hAnsi="標楷體" w:hint="eastAsia"/>
          <w:sz w:val="28"/>
          <w:szCs w:val="28"/>
        </w:rPr>
        <w:t xml:space="preserve">    </w:t>
      </w:r>
      <w:r w:rsidR="00342F8A" w:rsidRPr="00332ED4">
        <w:rPr>
          <w:rFonts w:ascii="標楷體" w:eastAsia="標楷體" w:hAnsi="標楷體" w:hint="eastAsia"/>
          <w:sz w:val="28"/>
          <w:szCs w:val="28"/>
        </w:rPr>
        <w:t>實習或實驗學分之計算，由專科學校定之。</w:t>
      </w:r>
    </w:p>
    <w:p w:rsidR="009A3FD5" w:rsidRPr="00332ED4" w:rsidRDefault="00EC1F40" w:rsidP="001D3397">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851" w:hanging="851"/>
        <w:jc w:val="both"/>
        <w:rPr>
          <w:rFonts w:ascii="標楷體" w:eastAsia="標楷體" w:hAnsi="標楷體"/>
          <w:sz w:val="28"/>
          <w:szCs w:val="28"/>
        </w:rPr>
      </w:pPr>
      <w:r w:rsidRPr="00332ED4">
        <w:rPr>
          <w:rFonts w:ascii="標楷體" w:eastAsia="標楷體" w:hAnsi="標楷體" w:hint="eastAsia"/>
          <w:sz w:val="28"/>
          <w:szCs w:val="28"/>
        </w:rPr>
        <w:t xml:space="preserve">  </w:t>
      </w:r>
      <w:r w:rsidR="00332ED4">
        <w:rPr>
          <w:rFonts w:ascii="標楷體" w:eastAsia="標楷體" w:hAnsi="標楷體" w:hint="eastAsia"/>
          <w:sz w:val="28"/>
          <w:szCs w:val="28"/>
        </w:rPr>
        <w:t xml:space="preserve">  </w:t>
      </w:r>
      <w:r w:rsidR="00CC15CD" w:rsidRPr="00332ED4">
        <w:rPr>
          <w:rFonts w:ascii="標楷體" w:eastAsia="標楷體" w:hAnsi="標楷體" w:hint="eastAsia"/>
          <w:sz w:val="28"/>
          <w:szCs w:val="28"/>
        </w:rPr>
        <w:t>專科學校招收已取得副學士學位以上者修讀副學士學位，得依本法第三十三條第四項規定縮短其修業期限。</w:t>
      </w:r>
    </w:p>
    <w:p w:rsidR="009A3FD5" w:rsidRPr="00332ED4" w:rsidRDefault="00EC1F40" w:rsidP="001D3397">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1134" w:hanging="1134"/>
        <w:jc w:val="both"/>
        <w:rPr>
          <w:rFonts w:ascii="標楷體" w:eastAsia="標楷體" w:hAnsi="標楷體"/>
          <w:sz w:val="28"/>
          <w:szCs w:val="28"/>
        </w:rPr>
      </w:pPr>
      <w:r w:rsidRPr="00332ED4">
        <w:rPr>
          <w:rFonts w:ascii="標楷體" w:eastAsia="標楷體" w:hAnsi="標楷體" w:hint="eastAsia"/>
          <w:sz w:val="28"/>
          <w:szCs w:val="28"/>
        </w:rPr>
        <w:lastRenderedPageBreak/>
        <w:t xml:space="preserve"> </w:t>
      </w:r>
      <w:r w:rsidR="00332ED4" w:rsidRPr="00332ED4">
        <w:rPr>
          <w:rFonts w:ascii="標楷體" w:eastAsia="標楷體" w:hAnsi="標楷體" w:hint="eastAsia"/>
          <w:sz w:val="28"/>
          <w:szCs w:val="28"/>
        </w:rPr>
        <w:t xml:space="preserve"> </w:t>
      </w:r>
      <w:r w:rsidR="00332ED4">
        <w:rPr>
          <w:rFonts w:ascii="標楷體" w:eastAsia="標楷體" w:hAnsi="標楷體" w:hint="eastAsia"/>
          <w:sz w:val="28"/>
          <w:szCs w:val="28"/>
        </w:rPr>
        <w:t xml:space="preserve">  </w:t>
      </w:r>
      <w:r w:rsidR="00615219" w:rsidRPr="00332ED4">
        <w:rPr>
          <w:rFonts w:ascii="標楷體" w:eastAsia="標楷體" w:hAnsi="標楷體" w:hint="eastAsia"/>
          <w:sz w:val="28"/>
          <w:szCs w:val="28"/>
        </w:rPr>
        <w:t>專科學校依本法第三十三條第一項、第四項至第七項所定副學士學位修業期限與其修業期限縮短或延長之資格條件及申請程序，應列入學則。</w:t>
      </w:r>
    </w:p>
    <w:p w:rsidR="009A3FD5" w:rsidRPr="00332ED4" w:rsidRDefault="00332ED4" w:rsidP="001D3397">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1134" w:hanging="1134"/>
        <w:jc w:val="both"/>
        <w:rPr>
          <w:rFonts w:ascii="標楷體" w:eastAsia="標楷體" w:hAnsi="標楷體"/>
          <w:sz w:val="28"/>
          <w:szCs w:val="28"/>
        </w:rPr>
      </w:pPr>
      <w:r w:rsidRPr="00332ED4">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615219" w:rsidRPr="00332ED4">
        <w:rPr>
          <w:rFonts w:ascii="標楷體" w:eastAsia="標楷體" w:hAnsi="標楷體" w:hint="eastAsia"/>
          <w:sz w:val="28"/>
          <w:szCs w:val="28"/>
        </w:rPr>
        <w:t>專科學校學生依本法第三十八條第一項修讀他校輔科、雙主修、跨校選修科目，應經本校及他校之同意。</w:t>
      </w:r>
      <w:r w:rsidR="009A3FD5" w:rsidRPr="00332ED4">
        <w:rPr>
          <w:rFonts w:ascii="標楷體" w:eastAsia="標楷體" w:hAnsi="標楷體"/>
          <w:sz w:val="28"/>
          <w:szCs w:val="28"/>
        </w:rPr>
        <w:br/>
      </w:r>
      <w:r w:rsidRPr="00332ED4">
        <w:rPr>
          <w:rFonts w:ascii="標楷體" w:eastAsia="標楷體" w:hAnsi="標楷體" w:hint="eastAsia"/>
          <w:sz w:val="28"/>
          <w:szCs w:val="28"/>
        </w:rPr>
        <w:t xml:space="preserve">    </w:t>
      </w:r>
      <w:r w:rsidR="00615219" w:rsidRPr="00332ED4">
        <w:rPr>
          <w:rFonts w:ascii="標楷體" w:eastAsia="標楷體" w:hAnsi="標楷體" w:hint="eastAsia"/>
          <w:sz w:val="28"/>
          <w:szCs w:val="28"/>
        </w:rPr>
        <w:t>專科學校得就學生修讀輔科、雙主修、跨校選修科目，自行訂定收費基準。</w:t>
      </w:r>
    </w:p>
    <w:p w:rsidR="009A3FD5" w:rsidRPr="00332ED4" w:rsidRDefault="00332ED4" w:rsidP="001D3397">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1134" w:hanging="1134"/>
        <w:jc w:val="both"/>
        <w:rPr>
          <w:rFonts w:ascii="標楷體" w:eastAsia="標楷體" w:hAnsi="標楷體"/>
          <w:sz w:val="28"/>
          <w:szCs w:val="28"/>
        </w:rPr>
      </w:pPr>
      <w:r w:rsidRPr="00332ED4">
        <w:rPr>
          <w:rFonts w:ascii="標楷體" w:eastAsia="標楷體" w:hAnsi="標楷體" w:hint="eastAsia"/>
          <w:sz w:val="28"/>
          <w:szCs w:val="28"/>
        </w:rPr>
        <w:t xml:space="preserve">    </w:t>
      </w:r>
      <w:r w:rsidR="00615219" w:rsidRPr="00332ED4">
        <w:rPr>
          <w:rFonts w:ascii="標楷體" w:eastAsia="標楷體" w:hAnsi="標楷體" w:hint="eastAsia"/>
          <w:sz w:val="28"/>
          <w:szCs w:val="28"/>
        </w:rPr>
        <w:t>專科學校學生會依本法第四十二條第三項規定向其會員收取之會費，應以處理學生在校學習、生活及與其權益直接有關之事項為限。</w:t>
      </w:r>
      <w:r w:rsidR="009A3FD5" w:rsidRPr="00332ED4">
        <w:rPr>
          <w:rFonts w:ascii="標楷體" w:eastAsia="標楷體" w:hAnsi="標楷體"/>
          <w:sz w:val="28"/>
          <w:szCs w:val="28"/>
        </w:rPr>
        <w:br/>
      </w:r>
      <w:r w:rsidR="00615219" w:rsidRPr="00332ED4">
        <w:rPr>
          <w:rFonts w:ascii="標楷體" w:eastAsia="標楷體" w:hAnsi="標楷體"/>
          <w:sz w:val="28"/>
          <w:szCs w:val="28"/>
        </w:rPr>
        <w:t>學生會收取會費或學校依學生會請求代收會費，不得列為完成註冊程序之必要條件。</w:t>
      </w:r>
    </w:p>
    <w:p w:rsidR="009A3FD5" w:rsidRPr="00332ED4" w:rsidRDefault="00332ED4" w:rsidP="001D3397">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1134" w:hanging="1134"/>
        <w:jc w:val="both"/>
        <w:rPr>
          <w:rFonts w:ascii="標楷體" w:eastAsia="標楷體" w:hAnsi="標楷體"/>
          <w:sz w:val="28"/>
          <w:szCs w:val="28"/>
        </w:rPr>
      </w:pPr>
      <w:r w:rsidRPr="00332ED4">
        <w:rPr>
          <w:rFonts w:ascii="標楷體" w:eastAsia="標楷體" w:hAnsi="標楷體" w:hint="eastAsia"/>
          <w:sz w:val="28"/>
          <w:szCs w:val="28"/>
        </w:rPr>
        <w:t xml:space="preserve">    </w:t>
      </w:r>
      <w:r w:rsidR="00615219" w:rsidRPr="00332ED4">
        <w:rPr>
          <w:rFonts w:ascii="標楷體" w:eastAsia="標楷體" w:hAnsi="標楷體" w:hint="eastAsia"/>
          <w:sz w:val="28"/>
          <w:szCs w:val="28"/>
        </w:rPr>
        <w:t>專科學校依本法第四十六條規定主動公開校務資訊，應訂定校務資訊公開之事項、方式及人民申請提供之程序，且應於學校網頁建置校務公開專區，並指定單位或專人，辦理校務資訊之定期更新及管理。</w:t>
      </w:r>
      <w:r w:rsidR="009A3FD5" w:rsidRPr="00332ED4">
        <w:rPr>
          <w:rFonts w:ascii="標楷體" w:eastAsia="標楷體" w:hAnsi="標楷體"/>
          <w:sz w:val="28"/>
          <w:szCs w:val="28"/>
        </w:rPr>
        <w:br/>
      </w:r>
      <w:r>
        <w:rPr>
          <w:rFonts w:ascii="標楷體" w:eastAsia="標楷體" w:hAnsi="標楷體" w:hint="eastAsia"/>
          <w:sz w:val="28"/>
          <w:szCs w:val="28"/>
        </w:rPr>
        <w:t xml:space="preserve">    </w:t>
      </w:r>
      <w:r w:rsidR="00615219" w:rsidRPr="00332ED4">
        <w:rPr>
          <w:rFonts w:ascii="標楷體" w:eastAsia="標楷體" w:hAnsi="標楷體" w:hint="eastAsia"/>
          <w:sz w:val="28"/>
          <w:szCs w:val="28"/>
        </w:rPr>
        <w:t>前項校務資訊，包括基本數據及趨勢、辦學特色及發展願景、績效表現及各類評鑑結果、畢業生流向及校友表現、財務資訊及學雜費、各類就學補助資訊等事項。</w:t>
      </w:r>
    </w:p>
    <w:p w:rsidR="00615219" w:rsidRPr="00332ED4" w:rsidRDefault="00332ED4" w:rsidP="001D3397">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60" w:lineRule="exact"/>
        <w:ind w:left="1134" w:hanging="1134"/>
        <w:jc w:val="both"/>
        <w:rPr>
          <w:rFonts w:ascii="標楷體" w:eastAsia="標楷體" w:hAnsi="標楷體"/>
          <w:sz w:val="28"/>
          <w:szCs w:val="28"/>
        </w:rPr>
      </w:pPr>
      <w:bookmarkStart w:id="0" w:name="_GoBack"/>
      <w:bookmarkEnd w:id="0"/>
      <w:r w:rsidRPr="00332ED4">
        <w:rPr>
          <w:rFonts w:ascii="標楷體" w:eastAsia="標楷體" w:hAnsi="標楷體" w:hint="eastAsia"/>
          <w:sz w:val="28"/>
          <w:szCs w:val="28"/>
        </w:rPr>
        <w:t xml:space="preserve">    </w:t>
      </w:r>
      <w:r w:rsidR="00615219" w:rsidRPr="00332ED4">
        <w:rPr>
          <w:rFonts w:ascii="標楷體" w:eastAsia="標楷體" w:hAnsi="標楷體" w:hint="eastAsia"/>
          <w:sz w:val="28"/>
          <w:szCs w:val="28"/>
        </w:rPr>
        <w:t>本細則自發布日施行。</w:t>
      </w:r>
    </w:p>
    <w:sectPr w:rsidR="00615219" w:rsidRPr="00332ED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741" w:rsidRDefault="00073741" w:rsidP="001F5920">
      <w:r>
        <w:separator/>
      </w:r>
    </w:p>
  </w:endnote>
  <w:endnote w:type="continuationSeparator" w:id="0">
    <w:p w:rsidR="00073741" w:rsidRDefault="00073741" w:rsidP="001F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741" w:rsidRDefault="00073741" w:rsidP="001F5920">
      <w:r>
        <w:separator/>
      </w:r>
    </w:p>
  </w:footnote>
  <w:footnote w:type="continuationSeparator" w:id="0">
    <w:p w:rsidR="00073741" w:rsidRDefault="00073741" w:rsidP="001F59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95518"/>
    <w:multiLevelType w:val="hybridMultilevel"/>
    <w:tmpl w:val="1B087202"/>
    <w:lvl w:ilvl="0" w:tplc="56C41B74">
      <w:start w:val="1"/>
      <w:numFmt w:val="taiwaneseCountingThousand"/>
      <w:lvlText w:val="第%1條"/>
      <w:lvlJc w:val="left"/>
      <w:pPr>
        <w:ind w:left="906" w:hanging="480"/>
      </w:pPr>
      <w:rPr>
        <w:rFonts w:ascii="標楷體" w:eastAsia="標楷體" w:hint="eastAsia"/>
        <w:b w:val="0"/>
        <w:i w:val="0"/>
        <w:sz w:val="28"/>
        <w:szCs w:val="28"/>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2E"/>
    <w:rsid w:val="00046D7A"/>
    <w:rsid w:val="00073741"/>
    <w:rsid w:val="001D3397"/>
    <w:rsid w:val="001F5920"/>
    <w:rsid w:val="002012A8"/>
    <w:rsid w:val="002E35EE"/>
    <w:rsid w:val="00332ED4"/>
    <w:rsid w:val="003365BB"/>
    <w:rsid w:val="00342F8A"/>
    <w:rsid w:val="00615219"/>
    <w:rsid w:val="00854E8B"/>
    <w:rsid w:val="008C68CE"/>
    <w:rsid w:val="009A3FD5"/>
    <w:rsid w:val="00B65B2E"/>
    <w:rsid w:val="00C8286B"/>
    <w:rsid w:val="00CC15CD"/>
    <w:rsid w:val="00EC1F40"/>
    <w:rsid w:val="00EF11ED"/>
    <w:rsid w:val="00F35B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065D05-A77D-4DE4-9E25-26A6E170E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B2E"/>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B65B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cs="細明體"/>
      <w:kern w:val="0"/>
      <w:szCs w:val="24"/>
    </w:rPr>
  </w:style>
  <w:style w:type="character" w:customStyle="1" w:styleId="HTML0">
    <w:name w:val="HTML 預設格式 字元"/>
    <w:basedOn w:val="a0"/>
    <w:link w:val="HTML"/>
    <w:uiPriority w:val="99"/>
    <w:rsid w:val="00B65B2E"/>
    <w:rPr>
      <w:rFonts w:ascii="細明體" w:eastAsia="細明體" w:hAnsi="細明體" w:cs="細明體"/>
      <w:kern w:val="0"/>
      <w:szCs w:val="24"/>
    </w:rPr>
  </w:style>
  <w:style w:type="paragraph" w:styleId="a3">
    <w:name w:val="header"/>
    <w:basedOn w:val="a"/>
    <w:link w:val="a4"/>
    <w:uiPriority w:val="99"/>
    <w:unhideWhenUsed/>
    <w:rsid w:val="001F5920"/>
    <w:pPr>
      <w:tabs>
        <w:tab w:val="center" w:pos="4153"/>
        <w:tab w:val="right" w:pos="8306"/>
      </w:tabs>
      <w:snapToGrid w:val="0"/>
    </w:pPr>
    <w:rPr>
      <w:sz w:val="20"/>
      <w:szCs w:val="20"/>
    </w:rPr>
  </w:style>
  <w:style w:type="character" w:customStyle="1" w:styleId="a4">
    <w:name w:val="頁首 字元"/>
    <w:basedOn w:val="a0"/>
    <w:link w:val="a3"/>
    <w:uiPriority w:val="99"/>
    <w:rsid w:val="001F5920"/>
    <w:rPr>
      <w:rFonts w:ascii="Calibri" w:eastAsia="新細明體" w:hAnsi="Calibri" w:cs="Times New Roman"/>
      <w:sz w:val="20"/>
      <w:szCs w:val="20"/>
    </w:rPr>
  </w:style>
  <w:style w:type="paragraph" w:styleId="a5">
    <w:name w:val="footer"/>
    <w:basedOn w:val="a"/>
    <w:link w:val="a6"/>
    <w:uiPriority w:val="99"/>
    <w:unhideWhenUsed/>
    <w:rsid w:val="001F5920"/>
    <w:pPr>
      <w:tabs>
        <w:tab w:val="center" w:pos="4153"/>
        <w:tab w:val="right" w:pos="8306"/>
      </w:tabs>
      <w:snapToGrid w:val="0"/>
    </w:pPr>
    <w:rPr>
      <w:sz w:val="20"/>
      <w:szCs w:val="20"/>
    </w:rPr>
  </w:style>
  <w:style w:type="character" w:customStyle="1" w:styleId="a6">
    <w:name w:val="頁尾 字元"/>
    <w:basedOn w:val="a0"/>
    <w:link w:val="a5"/>
    <w:uiPriority w:val="99"/>
    <w:rsid w:val="001F5920"/>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moejsmpc</cp:lastModifiedBy>
  <cp:revision>6</cp:revision>
  <dcterms:created xsi:type="dcterms:W3CDTF">2015-03-18T03:55:00Z</dcterms:created>
  <dcterms:modified xsi:type="dcterms:W3CDTF">2015-03-18T10:10:00Z</dcterms:modified>
</cp:coreProperties>
</file>