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9E" w:rsidRPr="00BE725C" w:rsidRDefault="00DB69AF" w:rsidP="00E82339">
      <w:pPr>
        <w:tabs>
          <w:tab w:val="left" w:pos="142"/>
          <w:tab w:val="left" w:pos="1134"/>
        </w:tabs>
        <w:spacing w:before="100" w:beforeAutospacing="1" w:after="100" w:afterAutospacing="1"/>
        <w:contextualSpacing/>
        <w:mirrorIndents/>
        <w:rPr>
          <w:rFonts w:ascii="標楷體" w:eastAsia="標楷體" w:hAnsi="標楷體" w:cs="BatangChe"/>
          <w:sz w:val="24"/>
          <w:szCs w:val="24"/>
          <w:lang w:eastAsia="zh-TW"/>
        </w:rPr>
      </w:pP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一、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ab/>
      </w:r>
      <w:bookmarkStart w:id="0" w:name="_GoBack"/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「大專校院統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合視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導</w:t>
      </w:r>
      <w:r w:rsidRPr="00BE725C">
        <w:rPr>
          <w:rFonts w:ascii="標楷體" w:eastAsia="標楷體" w:hAnsi="標楷體" w:cs="細明體"/>
          <w:spacing w:val="-24"/>
          <w:sz w:val="24"/>
          <w:szCs w:val="24"/>
          <w:lang w:eastAsia="zh-TW"/>
        </w:rPr>
        <w:t>」及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「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大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專校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院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國際化品質視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導機</w:t>
      </w:r>
      <w:r w:rsidRPr="00BE725C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制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試辦計 畫」之區隔</w:t>
      </w:r>
      <w:bookmarkEnd w:id="0"/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如</w:t>
      </w:r>
      <w:r w:rsidRPr="00BE725C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下</w:t>
      </w:r>
      <w:r w:rsidRPr="00BE725C">
        <w:rPr>
          <w:rFonts w:ascii="標楷體" w:eastAsia="標楷體" w:hAnsi="標楷體" w:cs="BatangChe"/>
          <w:sz w:val="24"/>
          <w:szCs w:val="24"/>
          <w:lang w:eastAsia="zh-TW"/>
        </w:rPr>
        <w:t>:</w:t>
      </w: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DB69AF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 w:cs="細明體"/>
          <w:sz w:val="24"/>
          <w:szCs w:val="24"/>
          <w:lang w:eastAsia="zh-TW"/>
        </w:rPr>
      </w:pPr>
      <w:r w:rsidRPr="00BE725C">
        <w:rPr>
          <w:rFonts w:ascii="標楷體" w:eastAsia="標楷體" w:hAnsi="標楷體" w:cs="BatangChe"/>
          <w:spacing w:val="1"/>
          <w:sz w:val="24"/>
          <w:szCs w:val="24"/>
          <w:lang w:eastAsia="zh-TW"/>
        </w:rPr>
        <w:t>1</w:t>
      </w:r>
      <w:r w:rsidRPr="00BE725C">
        <w:rPr>
          <w:rFonts w:ascii="標楷體" w:eastAsia="標楷體" w:hAnsi="標楷體" w:cs="BatangChe"/>
          <w:sz w:val="24"/>
          <w:szCs w:val="24"/>
          <w:lang w:eastAsia="zh-TW"/>
        </w:rPr>
        <w:t xml:space="preserve">. 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前者視導之各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項目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配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分，採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「有無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別」及「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程度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別」給分，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以基礎 門檻</w:t>
      </w:r>
      <w:r w:rsidRPr="00BE725C">
        <w:rPr>
          <w:rFonts w:ascii="標楷體" w:eastAsia="標楷體" w:hAnsi="標楷體" w:cs="細明體"/>
          <w:spacing w:val="-61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BatangChe"/>
          <w:spacing w:val="-1"/>
          <w:sz w:val="24"/>
          <w:szCs w:val="24"/>
          <w:lang w:eastAsia="zh-TW"/>
        </w:rPr>
        <w:t>7</w:t>
      </w:r>
      <w:r w:rsidRPr="00BE725C">
        <w:rPr>
          <w:rFonts w:ascii="標楷體" w:eastAsia="標楷體" w:hAnsi="標楷體" w:cs="BatangChe"/>
          <w:sz w:val="24"/>
          <w:szCs w:val="24"/>
          <w:lang w:eastAsia="zh-TW"/>
        </w:rPr>
        <w:t>0</w:t>
      </w:r>
      <w:r w:rsidRPr="00BE725C">
        <w:rPr>
          <w:rFonts w:ascii="標楷體" w:eastAsia="標楷體" w:hAnsi="標楷體" w:cs="BatangChe"/>
          <w:spacing w:val="-62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分以上通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過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，未達</w:t>
      </w:r>
      <w:r w:rsidRPr="00BE725C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BatangChe"/>
          <w:spacing w:val="-1"/>
          <w:sz w:val="24"/>
          <w:szCs w:val="24"/>
          <w:lang w:eastAsia="zh-TW"/>
        </w:rPr>
        <w:t>7</w:t>
      </w:r>
      <w:r w:rsidRPr="00BE725C">
        <w:rPr>
          <w:rFonts w:ascii="標楷體" w:eastAsia="標楷體" w:hAnsi="標楷體" w:cs="BatangChe"/>
          <w:sz w:val="24"/>
          <w:szCs w:val="24"/>
          <w:lang w:eastAsia="zh-TW"/>
        </w:rPr>
        <w:t>0</w:t>
      </w:r>
      <w:r w:rsidRPr="00BE725C">
        <w:rPr>
          <w:rFonts w:ascii="標楷體" w:eastAsia="標楷體" w:hAnsi="標楷體" w:cs="BatangChe"/>
          <w:spacing w:val="-62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分為待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改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進，分</w:t>
      </w:r>
      <w:r w:rsidRPr="00BE725C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BatangChe"/>
          <w:sz w:val="24"/>
          <w:szCs w:val="24"/>
          <w:lang w:eastAsia="zh-TW"/>
        </w:rPr>
        <w:t>2</w:t>
      </w:r>
      <w:r w:rsidRPr="00BE725C">
        <w:rPr>
          <w:rFonts w:ascii="標楷體" w:eastAsia="標楷體" w:hAnsi="標楷體" w:cs="BatangChe"/>
          <w:spacing w:val="-62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等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級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，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純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屬視</w:t>
      </w:r>
      <w:r w:rsidRPr="00BE725C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導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， 並非評鑑。</w:t>
      </w: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DB69AF" w:rsidP="00E82339">
      <w:pPr>
        <w:spacing w:before="100" w:beforeAutospacing="1" w:after="100" w:afterAutospacing="1"/>
        <w:contextualSpacing/>
        <w:mirrorIndents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BE725C">
        <w:rPr>
          <w:rFonts w:ascii="標楷體" w:eastAsia="標楷體" w:hAnsi="標楷體" w:cs="BatangChe"/>
          <w:spacing w:val="1"/>
          <w:sz w:val="24"/>
          <w:szCs w:val="24"/>
          <w:lang w:eastAsia="zh-TW"/>
        </w:rPr>
        <w:t>2</w:t>
      </w:r>
      <w:r w:rsidRPr="00BE725C">
        <w:rPr>
          <w:rFonts w:ascii="標楷體" w:eastAsia="標楷體" w:hAnsi="標楷體" w:cs="BatangChe"/>
          <w:sz w:val="24"/>
          <w:szCs w:val="24"/>
          <w:lang w:eastAsia="zh-TW"/>
        </w:rPr>
        <w:t>.</w:t>
      </w:r>
      <w:r w:rsidRPr="00BE725C">
        <w:rPr>
          <w:rFonts w:ascii="標楷體" w:eastAsia="標楷體" w:hAnsi="標楷體" w:cs="BatangChe"/>
          <w:spacing w:val="60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統合視導之項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目評核，</w:t>
      </w:r>
      <w:r w:rsidRPr="00BE725C">
        <w:rPr>
          <w:rFonts w:ascii="標楷體" w:eastAsia="標楷體" w:hAnsi="標楷體" w:cs="細明體"/>
          <w:spacing w:val="-4"/>
          <w:sz w:val="24"/>
          <w:szCs w:val="24"/>
          <w:lang w:eastAsia="zh-TW"/>
        </w:rPr>
        <w:t>採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「有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無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別</w:t>
      </w:r>
      <w:r w:rsidRPr="00BE725C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」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給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分，</w:t>
      </w:r>
      <w:r w:rsidRPr="00BE725C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因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涉及</w:t>
      </w:r>
      <w:r w:rsidRPr="00BE725C">
        <w:rPr>
          <w:rFonts w:ascii="標楷體" w:eastAsia="標楷體" w:hAnsi="標楷體" w:cs="細明體"/>
          <w:spacing w:val="-70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BatangChe"/>
          <w:sz w:val="24"/>
          <w:szCs w:val="24"/>
          <w:lang w:eastAsia="zh-TW"/>
        </w:rPr>
        <w:t>2</w:t>
      </w:r>
      <w:r w:rsidRPr="00BE725C">
        <w:rPr>
          <w:rFonts w:ascii="標楷體" w:eastAsia="標楷體" w:hAnsi="標楷體" w:cs="BatangChe"/>
          <w:spacing w:val="-72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項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 xml:space="preserve">以上工作內 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容，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是否同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時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兼</w:t>
      </w:r>
      <w:r w:rsidRPr="00BE725C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備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或僅執行其中</w:t>
      </w:r>
      <w:r w:rsidRPr="00BE725C">
        <w:rPr>
          <w:rFonts w:ascii="標楷體" w:eastAsia="標楷體" w:hAnsi="標楷體" w:cs="細明體"/>
          <w:spacing w:val="-69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BatangChe"/>
          <w:sz w:val="24"/>
          <w:szCs w:val="24"/>
          <w:lang w:eastAsia="zh-TW"/>
        </w:rPr>
        <w:t>1</w:t>
      </w:r>
      <w:r w:rsidRPr="00BE725C">
        <w:rPr>
          <w:rFonts w:ascii="標楷體" w:eastAsia="標楷體" w:hAnsi="標楷體" w:cs="BatangChe"/>
          <w:spacing w:val="-74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項，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宜由委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員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共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識決，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倘認定 給分</w:t>
      </w:r>
      <w:r w:rsidRPr="00BE725C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時</w:t>
      </w:r>
      <w:r w:rsidRPr="00BE725C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宜將不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足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處</w:t>
      </w:r>
      <w:r w:rsidRPr="00BE725C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之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待改進補</w:t>
      </w:r>
      <w:r w:rsidRPr="00BE725C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充意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見列</w:t>
      </w:r>
      <w:r w:rsidRPr="00BE725C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入</w:t>
      </w:r>
      <w:r w:rsidRPr="00BE725C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並提供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具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體建</w:t>
      </w:r>
      <w:r w:rsidRPr="00BE725C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言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；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倘 認定未予給分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時，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亦應說明詳細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理</w:t>
      </w:r>
      <w:r w:rsidRPr="00BE725C">
        <w:rPr>
          <w:rFonts w:ascii="標楷體" w:eastAsia="標楷體" w:hAnsi="標楷體" w:cs="細明體"/>
          <w:spacing w:val="-1"/>
          <w:sz w:val="24"/>
          <w:szCs w:val="24"/>
          <w:lang w:eastAsia="zh-TW"/>
        </w:rPr>
        <w:t>由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及待改進之具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體建</w:t>
      </w:r>
      <w:r w:rsidRPr="00BE725C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議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DB69AF" w:rsidP="00E82339">
      <w:pPr>
        <w:spacing w:before="100" w:beforeAutospacing="1" w:after="100" w:afterAutospacing="1"/>
        <w:contextualSpacing/>
        <w:mirrorIndents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BE725C">
        <w:rPr>
          <w:rFonts w:ascii="標楷體" w:eastAsia="標楷體" w:hAnsi="標楷體" w:cs="BatangChe"/>
          <w:spacing w:val="1"/>
          <w:sz w:val="24"/>
          <w:szCs w:val="24"/>
          <w:lang w:eastAsia="zh-TW"/>
        </w:rPr>
        <w:t>3</w:t>
      </w:r>
      <w:r w:rsidRPr="00BE725C">
        <w:rPr>
          <w:rFonts w:ascii="標楷體" w:eastAsia="標楷體" w:hAnsi="標楷體" w:cs="BatangChe"/>
          <w:sz w:val="24"/>
          <w:szCs w:val="24"/>
          <w:lang w:eastAsia="zh-TW"/>
        </w:rPr>
        <w:t>.</w:t>
      </w:r>
      <w:r w:rsidRPr="00BE725C">
        <w:rPr>
          <w:rFonts w:ascii="標楷體" w:eastAsia="標楷體" w:hAnsi="標楷體" w:cs="BatangChe"/>
          <w:spacing w:val="60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後者</w:t>
      </w:r>
      <w:r w:rsidRPr="00BE725C">
        <w:rPr>
          <w:rFonts w:ascii="標楷體" w:eastAsia="標楷體" w:hAnsi="標楷體" w:cs="BatangChe"/>
          <w:spacing w:val="-1"/>
          <w:sz w:val="24"/>
          <w:szCs w:val="24"/>
          <w:lang w:eastAsia="zh-TW"/>
        </w:rPr>
        <w:t>(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試辦計</w:t>
      </w:r>
      <w:r w:rsidRPr="00BE725C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畫</w:t>
      </w:r>
      <w:r w:rsidRPr="00BE725C">
        <w:rPr>
          <w:rFonts w:ascii="標楷體" w:eastAsia="標楷體" w:hAnsi="標楷體" w:cs="BatangChe"/>
          <w:spacing w:val="-1"/>
          <w:sz w:val="24"/>
          <w:szCs w:val="24"/>
          <w:lang w:eastAsia="zh-TW"/>
        </w:rPr>
        <w:t>)</w:t>
      </w:r>
      <w:r w:rsidRPr="00BE725C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視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導之各項目評</w:t>
      </w:r>
      <w:r w:rsidRPr="00BE725C">
        <w:rPr>
          <w:rFonts w:ascii="標楷體" w:eastAsia="標楷體" w:hAnsi="標楷體" w:cs="細明體"/>
          <w:spacing w:val="-62"/>
          <w:sz w:val="24"/>
          <w:szCs w:val="24"/>
          <w:lang w:eastAsia="zh-TW"/>
        </w:rPr>
        <w:t>核</w:t>
      </w:r>
      <w:r w:rsidRPr="00BE725C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>，</w:t>
      </w:r>
      <w:r w:rsidRPr="00BE725C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採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特</w:t>
      </w:r>
      <w:r w:rsidRPr="00BE725C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>優、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通過</w:t>
      </w:r>
      <w:r w:rsidRPr="00BE725C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及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未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通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過</w:t>
      </w:r>
      <w:r w:rsidRPr="00BE725C">
        <w:rPr>
          <w:rFonts w:ascii="標楷體" w:eastAsia="標楷體" w:hAnsi="標楷體" w:cs="細明體"/>
          <w:spacing w:val="-67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BatangChe"/>
          <w:sz w:val="24"/>
          <w:szCs w:val="24"/>
          <w:lang w:eastAsia="zh-TW"/>
        </w:rPr>
        <w:t>3</w:t>
      </w:r>
      <w:r w:rsidRPr="00BE725C">
        <w:rPr>
          <w:rFonts w:ascii="標楷體" w:eastAsia="標楷體" w:hAnsi="標楷體" w:cs="BatangChe"/>
          <w:spacing w:val="-72"/>
          <w:sz w:val="24"/>
          <w:szCs w:val="24"/>
          <w:lang w:eastAsia="zh-TW"/>
        </w:rPr>
        <w:t xml:space="preserve"> 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等</w:t>
      </w:r>
      <w:r w:rsidRPr="00BE725C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>級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， 屬進階版，</w:t>
      </w:r>
      <w:r w:rsidRPr="00BE725C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較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接近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評鑑認可。</w:t>
      </w: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DB69AF" w:rsidP="00E82339">
      <w:pPr>
        <w:tabs>
          <w:tab w:val="left" w:pos="142"/>
        </w:tabs>
        <w:spacing w:before="100" w:beforeAutospacing="1" w:after="100" w:afterAutospacing="1"/>
        <w:contextualSpacing/>
        <w:mirrorIndents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二、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ab/>
        <w:t>「大專校院統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合視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導</w:t>
      </w:r>
      <w:r w:rsidRPr="00BE725C">
        <w:rPr>
          <w:rFonts w:ascii="標楷體" w:eastAsia="標楷體" w:hAnsi="標楷體" w:cs="細明體"/>
          <w:spacing w:val="-62"/>
          <w:sz w:val="24"/>
          <w:szCs w:val="24"/>
          <w:lang w:eastAsia="zh-TW"/>
        </w:rPr>
        <w:t>」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係屬基本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門</w:t>
      </w:r>
      <w:r w:rsidRPr="00BE725C">
        <w:rPr>
          <w:rFonts w:ascii="標楷體" w:eastAsia="標楷體" w:hAnsi="標楷體" w:cs="細明體"/>
          <w:spacing w:val="-31"/>
          <w:sz w:val="24"/>
          <w:szCs w:val="24"/>
          <w:lang w:eastAsia="zh-TW"/>
        </w:rPr>
        <w:t>檻</w:t>
      </w:r>
      <w:r w:rsidRPr="00BE725C">
        <w:rPr>
          <w:rFonts w:ascii="標楷體" w:eastAsia="標楷體" w:hAnsi="標楷體" w:cs="細明體"/>
          <w:spacing w:val="-34"/>
          <w:sz w:val="24"/>
          <w:szCs w:val="24"/>
          <w:lang w:eastAsia="zh-TW"/>
        </w:rPr>
        <w:t>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將不採行獎補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助方</w:t>
      </w:r>
      <w:r w:rsidRPr="00BE725C">
        <w:rPr>
          <w:rFonts w:ascii="標楷體" w:eastAsia="標楷體" w:hAnsi="標楷體" w:cs="細明體"/>
          <w:spacing w:val="-31"/>
          <w:sz w:val="24"/>
          <w:szCs w:val="24"/>
          <w:lang w:eastAsia="zh-TW"/>
        </w:rPr>
        <w:t>案，</w:t>
      </w:r>
      <w:r w:rsidRPr="00BE725C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以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針對 大專校院國際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化品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質提供待改進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項目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之具體建言為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目</w:t>
      </w:r>
      <w:r w:rsidRPr="00BE725C">
        <w:rPr>
          <w:rFonts w:ascii="標楷體" w:eastAsia="標楷體" w:hAnsi="標楷體" w:cs="細明體"/>
          <w:spacing w:val="-25"/>
          <w:sz w:val="24"/>
          <w:szCs w:val="24"/>
          <w:lang w:eastAsia="zh-TW"/>
        </w:rPr>
        <w:t>的</w:t>
      </w:r>
      <w:r w:rsidRPr="00BE725C">
        <w:rPr>
          <w:rFonts w:ascii="標楷體" w:eastAsia="標楷體" w:hAnsi="標楷體" w:cs="細明體"/>
          <w:spacing w:val="-160"/>
          <w:sz w:val="24"/>
          <w:szCs w:val="24"/>
          <w:lang w:eastAsia="zh-TW"/>
        </w:rPr>
        <w:t>。</w:t>
      </w:r>
      <w:r w:rsidRPr="00BE725C">
        <w:rPr>
          <w:rFonts w:ascii="標楷體" w:eastAsia="標楷體" w:hAnsi="標楷體" w:cs="Batang"/>
          <w:spacing w:val="-2"/>
          <w:sz w:val="24"/>
          <w:szCs w:val="24"/>
          <w:lang w:eastAsia="zh-TW"/>
        </w:rPr>
        <w:t>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大專校院 國際化品質視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導機</w:t>
      </w:r>
      <w:r w:rsidRPr="00BE725C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制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試辦計畫</w:t>
      </w:r>
      <w:r w:rsidRPr="00BE725C">
        <w:rPr>
          <w:rFonts w:ascii="標楷體" w:eastAsia="標楷體" w:hAnsi="標楷體" w:cs="Batang"/>
          <w:spacing w:val="-96"/>
          <w:sz w:val="24"/>
          <w:szCs w:val="24"/>
          <w:lang w:eastAsia="zh-TW"/>
        </w:rPr>
        <w:t>」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則與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本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部獎補助計畫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相聯</w:t>
      </w:r>
      <w:r w:rsidRPr="00BE725C">
        <w:rPr>
          <w:rFonts w:ascii="標楷體" w:eastAsia="標楷體" w:hAnsi="標楷體" w:cs="細明體"/>
          <w:spacing w:val="-45"/>
          <w:sz w:val="24"/>
          <w:szCs w:val="24"/>
          <w:lang w:eastAsia="zh-TW"/>
        </w:rPr>
        <w:t>結</w:t>
      </w:r>
      <w:r w:rsidRPr="00BE725C">
        <w:rPr>
          <w:rFonts w:ascii="標楷體" w:eastAsia="標楷體" w:hAnsi="標楷體" w:cs="細明體"/>
          <w:spacing w:val="-48"/>
          <w:sz w:val="24"/>
          <w:szCs w:val="24"/>
          <w:lang w:eastAsia="zh-TW"/>
        </w:rPr>
        <w:t>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將適時 修正相關行政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規</w:t>
      </w:r>
      <w:r w:rsidRPr="00BE725C">
        <w:rPr>
          <w:rFonts w:ascii="標楷體" w:eastAsia="標楷體" w:hAnsi="標楷體" w:cs="細明體"/>
          <w:spacing w:val="-48"/>
          <w:sz w:val="24"/>
          <w:szCs w:val="24"/>
          <w:lang w:eastAsia="zh-TW"/>
        </w:rPr>
        <w:t>則，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以鼓勵大專校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院積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極參</w:t>
      </w:r>
      <w:r w:rsidRPr="00BE725C">
        <w:rPr>
          <w:rFonts w:ascii="標楷體" w:eastAsia="標楷體" w:hAnsi="標楷體" w:cs="細明體"/>
          <w:spacing w:val="-48"/>
          <w:sz w:val="24"/>
          <w:szCs w:val="24"/>
          <w:lang w:eastAsia="zh-TW"/>
        </w:rPr>
        <w:t>與，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並獎勵典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範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大學之執</w:t>
      </w:r>
    </w:p>
    <w:p w:rsidR="00F5299E" w:rsidRPr="00BE725C" w:rsidRDefault="00DB69AF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 w:cs="細明體"/>
          <w:sz w:val="24"/>
          <w:szCs w:val="24"/>
          <w:lang w:eastAsia="zh-TW"/>
        </w:rPr>
      </w:pP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行成果，以供</w:t>
      </w:r>
      <w:r w:rsidRPr="00BE725C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各校</w:t>
      </w:r>
      <w:r w:rsidRPr="00BE725C">
        <w:rPr>
          <w:rFonts w:ascii="標楷體" w:eastAsia="標楷體" w:hAnsi="標楷體" w:cs="細明體"/>
          <w:sz w:val="24"/>
          <w:szCs w:val="24"/>
          <w:lang w:eastAsia="zh-TW"/>
        </w:rPr>
        <w:t>參酌仿效。</w:t>
      </w: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 w:cs="Calibri"/>
          <w:sz w:val="24"/>
          <w:szCs w:val="24"/>
          <w:lang w:eastAsia="zh-TW"/>
        </w:rPr>
        <w:sectPr w:rsidR="00F5299E" w:rsidRPr="00BE725C">
          <w:headerReference w:type="default" r:id="rId9"/>
          <w:footerReference w:type="default" r:id="rId10"/>
          <w:pgSz w:w="11920" w:h="16840"/>
          <w:pgMar w:top="1380" w:right="800" w:bottom="280" w:left="1120" w:header="729" w:footer="0" w:gutter="0"/>
          <w:cols w:space="720"/>
        </w:sect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559"/>
        <w:gridCol w:w="1276"/>
        <w:gridCol w:w="5863"/>
        <w:gridCol w:w="657"/>
      </w:tblGrid>
      <w:tr w:rsidR="00BE725C" w:rsidRPr="00BE725C" w:rsidTr="00E030AA">
        <w:trPr>
          <w:trHeight w:hRule="exact" w:val="1293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</w:rPr>
            </w:pPr>
            <w:r w:rsidRPr="00BE725C">
              <w:rPr>
                <w:rFonts w:ascii="標楷體" w:eastAsia="標楷體" w:hAnsi="標楷體" w:cs="細明體"/>
                <w:position w:val="-2"/>
                <w:sz w:val="24"/>
                <w:szCs w:val="24"/>
              </w:rPr>
              <w:t>項目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BE725C">
              <w:rPr>
                <w:rFonts w:ascii="標楷體" w:eastAsia="標楷體" w:hAnsi="標楷體" w:cs="細明體"/>
                <w:position w:val="-2"/>
                <w:sz w:val="24"/>
                <w:szCs w:val="24"/>
              </w:rPr>
              <w:t>訪視項目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 w:cs="BatangChe"/>
                <w:sz w:val="24"/>
                <w:szCs w:val="24"/>
              </w:rPr>
            </w:pPr>
            <w:r w:rsidRPr="00BE725C">
              <w:rPr>
                <w:rFonts w:ascii="標楷體" w:eastAsia="標楷體" w:hAnsi="標楷體" w:cs="BatangChe"/>
                <w:spacing w:val="-1"/>
                <w:sz w:val="24"/>
                <w:szCs w:val="24"/>
              </w:rPr>
              <w:t>(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</w:rPr>
              <w:t>配分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</w:rPr>
            </w:pPr>
            <w:r w:rsidRPr="00BE725C">
              <w:rPr>
                <w:rFonts w:ascii="標楷體" w:eastAsia="標楷體" w:hAnsi="標楷體" w:cs="細明體"/>
                <w:position w:val="-2"/>
                <w:sz w:val="24"/>
                <w:szCs w:val="24"/>
              </w:rPr>
              <w:t>訪視細項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position w:val="-2"/>
                <w:sz w:val="24"/>
                <w:szCs w:val="24"/>
                <w:lang w:eastAsia="zh-TW"/>
              </w:rPr>
              <w:t>訪視指標及評</w:t>
            </w:r>
            <w:r w:rsidRPr="00BE725C">
              <w:rPr>
                <w:rFonts w:ascii="標楷體" w:eastAsia="標楷體" w:hAnsi="標楷體" w:cs="細明體"/>
                <w:spacing w:val="-3"/>
                <w:position w:val="-2"/>
                <w:sz w:val="24"/>
                <w:szCs w:val="24"/>
                <w:lang w:eastAsia="zh-TW"/>
              </w:rPr>
              <w:t>分標</w:t>
            </w:r>
            <w:r w:rsidRPr="00BE725C">
              <w:rPr>
                <w:rFonts w:ascii="標楷體" w:eastAsia="標楷體" w:hAnsi="標楷體" w:cs="細明體"/>
                <w:position w:val="-2"/>
                <w:sz w:val="24"/>
                <w:szCs w:val="24"/>
                <w:lang w:eastAsia="zh-TW"/>
              </w:rPr>
              <w:t>準補充說明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BE725C" w:rsidP="00E030AA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業管單位</w:t>
            </w:r>
            <w:r w:rsid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(草案)</w:t>
            </w:r>
          </w:p>
        </w:tc>
      </w:tr>
      <w:tr w:rsidR="00BE725C" w:rsidRPr="00BE725C" w:rsidTr="00BE725C">
        <w:trPr>
          <w:trHeight w:hRule="exact" w:val="3798"/>
        </w:trPr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 xml:space="preserve">學校國際化發 展目標及特色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(5%)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35E7D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國際化發展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3%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學校校務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發展所列國際化發展策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略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，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程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度的差別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0-3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 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國際化發展策略納入學校中長程發展計畫中，並編列相對應經費落實執行者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國際化發展策略納入學校中長程發展計畫中，並編列經費逐步落實者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國際化發展策略納入學校中長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程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發展計畫中，尚未落實者，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4.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無填報、無提供佐證資料、佐證資料與指 標內涵無關、或國際化發展策略沒有納入 學校中長程發展計畫中者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BE725C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國際交流中心</w:t>
            </w:r>
          </w:p>
        </w:tc>
      </w:tr>
      <w:tr w:rsidR="00BE725C" w:rsidRPr="00BE725C" w:rsidTr="00B35E7D">
        <w:trPr>
          <w:trHeight w:hRule="exact" w:val="2548"/>
        </w:trPr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督考機制</w:t>
            </w:r>
            <w:r w:rsidR="00BE725C"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</w:rPr>
              <w:t xml:space="preserve"> 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2%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35E7D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學校國際化工作之檢討與改進機制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，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35E7D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成立校級之國際化發展委員會，由校長或 副校長擔任召集人，定期開會檢視國際化 活動並提供佐證資料者，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35E7D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沒有校級單位之國際化發展委員會、無填 報、無提供佐證資料、無開會之事實，或 佐證資料與指標內含無關者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BE725C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無</w:t>
            </w:r>
          </w:p>
        </w:tc>
      </w:tr>
      <w:tr w:rsidR="00BE725C" w:rsidRPr="00BE725C" w:rsidTr="00A55099">
        <w:trPr>
          <w:trHeight w:hRule="exact" w:val="2268"/>
        </w:trPr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 xml:space="preserve">境外學生國際 化學習支援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(10%)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35E7D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華語加強輔導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3%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提供華語課程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無的差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別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E82339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提供因語言學習障礙導致學習落後之境外 學生補救教學課程，或開設華語文專班， 提供學生選修課程抵免畢業學分，其中一 項者，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合指標要求、無開設前述任一課程者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0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BE725C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國際交流中心</w:t>
            </w:r>
          </w:p>
        </w:tc>
      </w:tr>
      <w:tr w:rsidR="00BE725C" w:rsidRPr="00BE725C" w:rsidTr="00AC4513">
        <w:trPr>
          <w:trHeight w:hRule="exact" w:val="2272"/>
        </w:trPr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課外活動</w:t>
            </w:r>
            <w:r w:rsidR="00BE725C"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</w:rPr>
              <w:t xml:space="preserve"> 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2%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學生交流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活動及國際跨文化活動</w:t>
            </w:r>
            <w:r w:rsidRPr="00BE725C">
              <w:rPr>
                <w:rFonts w:ascii="標楷體" w:eastAsia="標楷體" w:hAnsi="標楷體" w:cs="細明體"/>
                <w:spacing w:val="4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</w:p>
          <w:p w:rsidR="00AC4513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 數多者先列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  <w:r w:rsidR="00AC4513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 </w:t>
            </w:r>
          </w:p>
          <w:p w:rsidR="00AC4513" w:rsidRPr="00BE725C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1.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辦理學生交流及跨文化活動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2.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合指標要求、僅提供交流活動或跨文化活 動之其中一項者，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BE725C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BatangChe" w:hint="eastAsia"/>
                <w:color w:val="FF0000"/>
                <w:sz w:val="24"/>
                <w:szCs w:val="24"/>
                <w:lang w:eastAsia="zh-TW"/>
              </w:rPr>
              <w:t>國際交流中心</w:t>
            </w:r>
          </w:p>
          <w:p w:rsidR="00BE725C" w:rsidRPr="00E030AA" w:rsidRDefault="00BE725C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新細明體" w:eastAsia="新細明體" w:hAnsi="新細明體" w:cs="BatangChe" w:hint="eastAsia"/>
                <w:color w:val="FF0000"/>
                <w:sz w:val="24"/>
                <w:szCs w:val="24"/>
                <w:lang w:eastAsia="zh-TW"/>
              </w:rPr>
              <w:t>、</w:t>
            </w:r>
            <w:r w:rsidRPr="00E030AA">
              <w:rPr>
                <w:rFonts w:ascii="標楷體" w:eastAsia="標楷體" w:hAnsi="標楷體" w:cs="BatangChe" w:hint="eastAsia"/>
                <w:color w:val="FF0000"/>
                <w:sz w:val="24"/>
                <w:szCs w:val="24"/>
                <w:lang w:eastAsia="zh-TW"/>
              </w:rPr>
              <w:t>學務處</w:t>
            </w:r>
          </w:p>
        </w:tc>
      </w:tr>
    </w:tbl>
    <w:p w:rsidR="00F5299E" w:rsidRPr="00BE725C" w:rsidRDefault="00CB5A72" w:rsidP="00E82339">
      <w:pPr>
        <w:spacing w:before="100" w:beforeAutospacing="1" w:after="100" w:afterAutospacing="1"/>
        <w:contextualSpacing/>
        <w:mirrorIndents/>
        <w:jc w:val="center"/>
        <w:rPr>
          <w:rFonts w:ascii="標楷體" w:eastAsia="標楷體" w:hAnsi="標楷體" w:cs="Calibri"/>
          <w:sz w:val="24"/>
          <w:szCs w:val="24"/>
          <w:lang w:eastAsia="zh-TW"/>
        </w:rPr>
        <w:sectPr w:rsidR="00F5299E" w:rsidRPr="00BE725C" w:rsidSect="00061DB0">
          <w:pgSz w:w="11920" w:h="16840"/>
          <w:pgMar w:top="720" w:right="720" w:bottom="720" w:left="720" w:header="729" w:footer="0" w:gutter="0"/>
          <w:cols w:space="720"/>
          <w:docGrid w:linePitch="272"/>
        </w:sectPr>
      </w:pPr>
      <w:r>
        <w:rPr>
          <w:rFonts w:ascii="標楷體" w:eastAsia="標楷體" w:hAnsi="標楷體"/>
          <w:sz w:val="24"/>
          <w:szCs w:val="24"/>
        </w:rPr>
        <w:pict>
          <v:group id="_x0000_s1034" style="position:absolute;left:0;text-align:left;margin-left:404.6pt;margin-top:-200.55pt;width:66pt;height:0;z-index:-251660800;mso-position-horizontal-relative:page;mso-position-vertical-relative:text" coordorigin="8092,-4011" coordsize="1320,0">
            <v:shape id="_x0000_s1035" style="position:absolute;left:8092;top:-4011;width:1320;height:0" coordorigin="8092,-4011" coordsize="1320,0" path="m8092,-4011r1320,e" filled="f" strokeweight=".24697mm">
              <v:path arrowok="t"/>
            </v:shape>
            <w10:wrap anchorx="page"/>
          </v:group>
        </w:pict>
      </w: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W w:w="9631" w:type="dxa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2"/>
        <w:gridCol w:w="1462"/>
        <w:gridCol w:w="4765"/>
        <w:gridCol w:w="567"/>
      </w:tblGrid>
      <w:tr w:rsidR="00AC4513" w:rsidRPr="00BE725C" w:rsidTr="00AC4513">
        <w:trPr>
          <w:trHeight w:val="2506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513" w:rsidRPr="00BE725C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513" w:rsidRPr="00BE725C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513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3.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</w:rPr>
              <w:t>聯誼社團</w:t>
            </w:r>
            <w:r>
              <w:rPr>
                <w:rFonts w:ascii="標楷體" w:eastAsia="標楷體" w:hAnsi="標楷體" w:cs="細明體" w:hint="eastAsia"/>
                <w:spacing w:val="-60"/>
                <w:sz w:val="24"/>
                <w:szCs w:val="24"/>
                <w:lang w:eastAsia="zh-TW"/>
              </w:rPr>
              <w:t>3</w:t>
            </w:r>
            <w:r w:rsidR="00AC4513" w:rsidRPr="00BE725C">
              <w:rPr>
                <w:rFonts w:ascii="標楷體" w:eastAsia="標楷體" w:hAnsi="標楷體" w:cs="BatangChe"/>
                <w:sz w:val="24"/>
                <w:szCs w:val="24"/>
              </w:rPr>
              <w:t>%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AC4513" w:rsidRPr="00BE725C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境外學生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聯誼組織及社團輔導老師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，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 分數多者先列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AC4513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設有境外學生聯誼組織、有專責輔導老師 者，</w:t>
            </w:r>
            <w:r w:rsidR="00AC4513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="00AC4513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AC4513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合指標要求者，</w:t>
            </w:r>
            <w:r w:rsidR="00AC4513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AC4513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AC4513" w:rsidRPr="00E030AA" w:rsidRDefault="00AC4513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學務處</w:t>
            </w:r>
          </w:p>
        </w:tc>
      </w:tr>
      <w:tr w:rsidR="00BE725C" w:rsidRPr="00BE725C" w:rsidTr="00B35E7D">
        <w:trPr>
          <w:trHeight w:hRule="exact" w:val="2565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4.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課程國際化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 w:cs="BatangChe"/>
                <w:sz w:val="24"/>
                <w:szCs w:val="24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</w:rPr>
              <w:t>2%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國際化通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識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Calibri"/>
                <w:b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專業課程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Calibri"/>
                <w:b/>
                <w:spacing w:val="-3"/>
                <w:sz w:val="24"/>
                <w:szCs w:val="24"/>
                <w:u w:val="single" w:color="000000"/>
                <w:lang w:eastAsia="zh-TW"/>
              </w:rPr>
              <w:t>(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語言課程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除外</w:t>
            </w:r>
            <w:r w:rsidRPr="00BE725C">
              <w:rPr>
                <w:rFonts w:ascii="標楷體" w:eastAsia="標楷體" w:hAnsi="標楷體" w:cs="細明體"/>
                <w:spacing w:val="3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Calibri"/>
                <w:b/>
                <w:spacing w:val="-3"/>
                <w:sz w:val="24"/>
                <w:szCs w:val="24"/>
                <w:u w:val="single" w:color="000000"/>
                <w:lang w:eastAsia="zh-TW"/>
              </w:rPr>
              <w:t>)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，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lang w:eastAsia="zh-TW"/>
              </w:rPr>
              <w:t>題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程度的差別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0-2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B35E7D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開設國際化課程，且具有國內外進修學分 轉換作法者，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35E7D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開設國際化通識或專業課程任一者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合指標要求、無開設國際化課程者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0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AC4513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通識中心</w:t>
            </w:r>
            <w:r w:rsidRPr="00E030AA">
              <w:rPr>
                <w:rFonts w:ascii="新細明體" w:eastAsia="新細明體" w:hAnsi="新細明體" w:cs="細明體" w:hint="eastAsia"/>
                <w:color w:val="FF0000"/>
                <w:sz w:val="24"/>
                <w:szCs w:val="24"/>
                <w:lang w:eastAsia="zh-TW"/>
              </w:rPr>
              <w:t>、</w:t>
            </w: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三學院</w:t>
            </w:r>
          </w:p>
        </w:tc>
      </w:tr>
      <w:tr w:rsidR="00BE725C" w:rsidRPr="00BE725C" w:rsidTr="00B35E7D">
        <w:trPr>
          <w:trHeight w:hRule="exact" w:val="4530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大專校院國際 化人力及行政 資源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(50%)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行政輔導人員 職能提 升</w:t>
            </w:r>
            <w:r w:rsidR="00BE725C"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2%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教育訓練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鼓勵措施</w:t>
            </w:r>
            <w:r w:rsidRPr="00BE725C">
              <w:rPr>
                <w:rFonts w:ascii="標楷體" w:eastAsia="標楷體" w:hAnsi="標楷體" w:cs="細明體"/>
                <w:spacing w:val="3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Calibri"/>
                <w:b/>
                <w:spacing w:val="-3"/>
                <w:sz w:val="24"/>
                <w:szCs w:val="24"/>
                <w:u w:val="single" w:color="000000"/>
                <w:lang w:eastAsia="zh-TW"/>
              </w:rPr>
              <w:t>(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包含英語教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育訓練課程</w:t>
            </w:r>
            <w:r w:rsidRPr="00BE725C">
              <w:rPr>
                <w:rFonts w:ascii="標楷體" w:eastAsia="標楷體" w:hAnsi="標楷體" w:cs="細明體"/>
                <w:spacing w:val="3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Calibri"/>
                <w:b/>
                <w:spacing w:val="-3"/>
                <w:sz w:val="24"/>
                <w:szCs w:val="24"/>
                <w:u w:val="single" w:color="000000"/>
                <w:lang w:eastAsia="zh-TW"/>
              </w:rPr>
              <w:t>)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 xml:space="preserve"> 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程度的差別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0-2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 評分數多者先列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1.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訂有教育訓練鼓勵措施並辦理校內英語教 育訓練或辦理與境外生議題相關之教育訓 練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(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需有境外學生輔導人員參與課程之紀 錄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)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且具有獎勵措施者，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2.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訂有境外學生行政輔導相關人員參加學校 內部或外部教育訓練相關辦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法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者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(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需有境外 學生輔導人員參與課程之紀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錄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)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，但未設獎 勵措施者，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3.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合指標要求、無教育訓練鼓勵措施或未辦 理教育訓練者，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C4513" w:rsidRPr="00E030AA" w:rsidRDefault="00AC4513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人事室</w:t>
            </w:r>
          </w:p>
        </w:tc>
      </w:tr>
      <w:tr w:rsidR="00BE725C" w:rsidRPr="00BE725C" w:rsidTr="00AC4513">
        <w:trPr>
          <w:trHeight w:hRule="exact" w:val="2688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入學諮 詢服務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 w:cs="BatangChe"/>
                <w:sz w:val="24"/>
                <w:szCs w:val="24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</w:rPr>
              <w:t>10%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C4513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境外學生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外語諮詢服務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，此題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 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 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AC4513" w:rsidRPr="00BE725C" w:rsidRDefault="00B35E7D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具有境外學生外語諮詢服</w:t>
            </w:r>
            <w:r w:rsidR="00AC4513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務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者，</w:t>
            </w:r>
            <w:r w:rsidR="00AC4513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="00AC4513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35E7D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合指標要求、無境外學生外語諮詢服務 者，</w:t>
            </w:r>
            <w:r w:rsidR="00AC4513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AC4513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BatangChe" w:hint="eastAsia"/>
                <w:color w:val="FF0000"/>
                <w:sz w:val="24"/>
                <w:szCs w:val="24"/>
                <w:lang w:eastAsia="zh-TW"/>
              </w:rPr>
              <w:t>國際交流中心</w:t>
            </w:r>
          </w:p>
        </w:tc>
      </w:tr>
    </w:tbl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jc w:val="center"/>
        <w:rPr>
          <w:rFonts w:ascii="標楷體" w:eastAsia="標楷體" w:hAnsi="標楷體" w:cs="Calibri"/>
          <w:sz w:val="24"/>
          <w:szCs w:val="24"/>
          <w:lang w:eastAsia="zh-TW"/>
        </w:rPr>
        <w:sectPr w:rsidR="00F5299E" w:rsidRPr="00BE725C">
          <w:pgSz w:w="11920" w:h="16840"/>
          <w:pgMar w:top="1380" w:right="800" w:bottom="280" w:left="1120" w:header="729" w:footer="0" w:gutter="0"/>
          <w:cols w:space="720"/>
        </w:sect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</w:rPr>
      </w:pPr>
    </w:p>
    <w:tbl>
      <w:tblPr>
        <w:tblW w:w="9631" w:type="dxa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2"/>
        <w:gridCol w:w="1462"/>
        <w:gridCol w:w="4890"/>
        <w:gridCol w:w="442"/>
      </w:tblGrid>
      <w:tr w:rsidR="00AC4513" w:rsidRPr="00BE725C" w:rsidTr="00AC4513">
        <w:trPr>
          <w:trHeight w:val="2648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513" w:rsidRPr="00BE725C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513" w:rsidRPr="00BE725C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513" w:rsidRPr="00BE725C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AC4513" w:rsidRPr="00BE725C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境外學生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意見信箱服務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 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AC4513" w:rsidRPr="00BE725C" w:rsidRDefault="00B35E7D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具有境外學生意見信箱服</w:t>
            </w:r>
            <w:r w:rsidR="00AC4513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務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者，</w:t>
            </w:r>
            <w:r w:rsidR="00AC4513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="00AC4513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AC4513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合指標要求、無境外學生意見信箱服務 者，</w:t>
            </w:r>
            <w:r w:rsidR="00AC4513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AC4513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AC4513" w:rsidRPr="00E030AA" w:rsidRDefault="00AC4513" w:rsidP="00E82339">
            <w:pPr>
              <w:tabs>
                <w:tab w:val="left" w:pos="17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BatangChe" w:hint="eastAsia"/>
                <w:color w:val="FF0000"/>
                <w:sz w:val="24"/>
                <w:szCs w:val="24"/>
                <w:lang w:eastAsia="zh-TW"/>
              </w:rPr>
              <w:t>國際交流中心</w:t>
            </w:r>
          </w:p>
        </w:tc>
      </w:tr>
      <w:tr w:rsidR="00BE725C" w:rsidRPr="00BE725C" w:rsidTr="00AC4513">
        <w:trPr>
          <w:trHeight w:hRule="exact" w:val="325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申請入學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審核進度查詢機制 </w:t>
            </w:r>
            <w:r w:rsidRPr="00BE725C">
              <w:rPr>
                <w:rFonts w:ascii="標楷體" w:eastAsia="標楷體" w:hAnsi="標楷體" w:cs="細明體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 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具有境外學生申請入學審核進度查詢機制 者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(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如舉證提供</w:t>
            </w:r>
            <w:r w:rsidR="00BE725C"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email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進度審查內容範 例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)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合指標要求、無申請入學審核進度查詢機 制者，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AC4513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國際交流中心</w:t>
            </w:r>
          </w:p>
        </w:tc>
      </w:tr>
      <w:tr w:rsidR="00BE725C" w:rsidRPr="00BE725C" w:rsidTr="00AC4513">
        <w:trPr>
          <w:trHeight w:hRule="exact" w:val="361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境外學生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紙本或電子版手冊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 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提供境外學生生活指導或其他就學資訊之 相關手冊，內容包括新生初抵臺灣就學時 所需要之相關資訊之紙本或電子版手冊 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合指標要求、無境外學生紙本或電子版手 冊者，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AC4513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國際交流中心</w:t>
            </w:r>
          </w:p>
        </w:tc>
      </w:tr>
      <w:tr w:rsidR="00BE725C" w:rsidRPr="00BE725C" w:rsidTr="00B35E7D">
        <w:trPr>
          <w:trHeight w:hRule="exact" w:val="3926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3.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新生入學服務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9%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中英雙語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版境外學生手冊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 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AC4513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提供中英雙語版境外學生手冊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內容包含 學校簡介、校園地圖與境外學生相關學 則、緊急聯絡電話、醫療保險服務資訊、 簽證相關程序與辦法、申訴程序與窗口及 行政、學術各單位聯絡等相關資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訊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之紙本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或電子版手冊者，</w:t>
            </w:r>
            <w:r w:rsidR="00AC4513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="00AC4513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AC4513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合指標要求、無中英雙語版境外學生手冊 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AC4513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公關中心</w:t>
            </w:r>
          </w:p>
        </w:tc>
      </w:tr>
    </w:tbl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jc w:val="center"/>
        <w:rPr>
          <w:rFonts w:ascii="標楷體" w:eastAsia="標楷體" w:hAnsi="標楷體" w:cs="Calibri"/>
          <w:sz w:val="24"/>
          <w:szCs w:val="24"/>
          <w:lang w:eastAsia="zh-TW"/>
        </w:rPr>
        <w:sectPr w:rsidR="00F5299E" w:rsidRPr="00BE725C">
          <w:pgSz w:w="11920" w:h="16840"/>
          <w:pgMar w:top="1380" w:right="800" w:bottom="280" w:left="1120" w:header="729" w:footer="0" w:gutter="0"/>
          <w:cols w:space="720"/>
        </w:sect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</w:rPr>
      </w:pPr>
    </w:p>
    <w:tbl>
      <w:tblPr>
        <w:tblW w:w="9915" w:type="dxa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2"/>
        <w:gridCol w:w="1462"/>
        <w:gridCol w:w="4950"/>
        <w:gridCol w:w="666"/>
      </w:tblGrid>
      <w:tr w:rsidR="00AC4513" w:rsidRPr="00BE725C" w:rsidTr="00AC4513">
        <w:trPr>
          <w:trHeight w:val="2506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513" w:rsidRPr="00BE725C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513" w:rsidRPr="00BE725C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513" w:rsidRPr="00BE725C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AC4513" w:rsidRPr="00BE725C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新生入學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輔導活動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lang w:eastAsia="zh-TW"/>
              </w:rPr>
              <w:t>此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pacing w:val="1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 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AC4513" w:rsidRPr="00BE725C" w:rsidRDefault="00B35E7D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辦理新生入學輔導活動、講習說明會者，</w:t>
            </w:r>
            <w:r w:rsidR="00AC4513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="00AC4513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AC4513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合指標要求、無辦理新生入學輔導活</w:t>
            </w:r>
            <w:r w:rsidR="00AC4513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動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或 講習說明會者，</w:t>
            </w:r>
            <w:r w:rsidR="00AC4513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AC4513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AC4513" w:rsidRPr="00E030AA" w:rsidRDefault="00AC4513" w:rsidP="00E030AA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學</w:t>
            </w:r>
            <w:r w:rsidR="00E030AA"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務</w:t>
            </w: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處</w:t>
            </w:r>
          </w:p>
        </w:tc>
      </w:tr>
      <w:tr w:rsidR="00BE725C" w:rsidRPr="00BE725C" w:rsidTr="00BE725C">
        <w:trPr>
          <w:trHeight w:hRule="exact" w:val="361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境外生申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請簽證、居留、醫療保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險、工作證及 銀行帳戶等相關服務諮詢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 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設有線上或專責單位負責境外學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生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相關申 請事宜之服務窗口，提供聯絡諮詢服務 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合指標要求、無提供境外學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生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相關服務諮 詢者，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AC4513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國際交流中心</w:t>
            </w:r>
          </w:p>
        </w:tc>
      </w:tr>
      <w:tr w:rsidR="00BE725C" w:rsidRPr="00BE725C" w:rsidTr="00BE725C">
        <w:trPr>
          <w:trHeight w:hRule="exact" w:val="433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4.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在學輔導</w:t>
            </w:r>
            <w:r w:rsidR="00BE725C"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</w:rPr>
              <w:t xml:space="preserve"> 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2%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外語心理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諮詢服務及輔導座談會</w:t>
            </w:r>
            <w:r w:rsidRPr="00BE725C">
              <w:rPr>
                <w:rFonts w:ascii="標楷體" w:eastAsia="標楷體" w:hAnsi="標楷體" w:cs="細明體"/>
                <w:spacing w:val="4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程度的差別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0-2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 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具有外語心理諮詢服務，同時辦理境外學 生輔導座談會者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(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辦理台灣生輔導座談會 不算，辦理單位可為國際處、諮商中心或 系所等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)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辦理外語心理諮詢服務或辦理境外學生輔 導座談會任一項者，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合指標要求、無提供境外生心理諮詢服務 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AC4513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學務處</w:t>
            </w:r>
          </w:p>
        </w:tc>
      </w:tr>
      <w:tr w:rsidR="00BE725C" w:rsidRPr="00BE725C" w:rsidTr="00AC4513">
        <w:trPr>
          <w:trHeight w:hRule="exact" w:val="3260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5.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住宿服 務</w:t>
            </w:r>
            <w:r w:rsidR="00BE725C"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</w:rPr>
              <w:t xml:space="preserve"> 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6%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住宿申請</w:t>
            </w:r>
            <w:r w:rsidRPr="00BE725C">
              <w:rPr>
                <w:rFonts w:ascii="標楷體" w:eastAsia="標楷體" w:hAnsi="標楷體" w:cs="細明體"/>
                <w:spacing w:val="3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pacing w:val="-2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35E7D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1.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提供電子或紙本中英雙語宿舍申請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書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AC4513" w:rsidRDefault="00B35E7D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合指標要求、無中英文住宿申請書者</w:t>
            </w:r>
            <w:r w:rsidR="00AC4513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="00AC4513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AC4513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AC4513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學務處</w:t>
            </w:r>
          </w:p>
        </w:tc>
      </w:tr>
    </w:tbl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jc w:val="center"/>
        <w:rPr>
          <w:rFonts w:ascii="標楷體" w:eastAsia="標楷體" w:hAnsi="標楷體" w:cs="Calibri"/>
          <w:sz w:val="24"/>
          <w:szCs w:val="24"/>
          <w:lang w:eastAsia="zh-TW"/>
        </w:rPr>
        <w:sectPr w:rsidR="00F5299E" w:rsidRPr="00BE725C">
          <w:pgSz w:w="11920" w:h="16840"/>
          <w:pgMar w:top="1380" w:right="800" w:bottom="280" w:left="1120" w:header="729" w:footer="0" w:gutter="0"/>
          <w:cols w:space="720"/>
        </w:sect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</w:rPr>
      </w:pPr>
    </w:p>
    <w:tbl>
      <w:tblPr>
        <w:tblW w:w="9915" w:type="dxa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2"/>
        <w:gridCol w:w="1462"/>
        <w:gridCol w:w="4935"/>
        <w:gridCol w:w="681"/>
      </w:tblGrid>
      <w:tr w:rsidR="001F2334" w:rsidRPr="00BE725C" w:rsidTr="00B35E7D">
        <w:trPr>
          <w:trHeight w:val="4633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2334" w:rsidRPr="00BE725C" w:rsidRDefault="001F2334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2334" w:rsidRPr="00BE725C" w:rsidRDefault="001F2334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2334" w:rsidRPr="00BE725C" w:rsidRDefault="001F2334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1F2334" w:rsidRPr="00BE725C" w:rsidRDefault="001F2334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校內住宿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輔導</w:t>
            </w:r>
            <w:r w:rsidRPr="00BE725C">
              <w:rPr>
                <w:rFonts w:ascii="標楷體" w:eastAsia="標楷體" w:hAnsi="標楷體" w:cs="細明體"/>
                <w:spacing w:val="3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/>
                <w:b/>
                <w:spacing w:val="-3"/>
                <w:sz w:val="24"/>
                <w:szCs w:val="24"/>
                <w:u w:val="single" w:color="000000"/>
                <w:lang w:eastAsia="zh-TW"/>
              </w:rPr>
              <w:t>(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含學校及包租宿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舍</w:t>
            </w:r>
            <w:r w:rsidRPr="00BE725C">
              <w:rPr>
                <w:rFonts w:ascii="標楷體" w:eastAsia="標楷體" w:hAnsi="標楷體" w:cs="細明體"/>
                <w:spacing w:val="3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/>
                <w:b/>
                <w:spacing w:val="-3"/>
                <w:sz w:val="24"/>
                <w:szCs w:val="24"/>
                <w:u w:val="single" w:color="000000"/>
                <w:lang w:eastAsia="zh-TW"/>
              </w:rPr>
              <w:t>)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，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程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度的差別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0-3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 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1F2334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校內住宿輔導</w:t>
            </w:r>
            <w:r w:rsidR="001F2334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(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含學校及包租宿</w:t>
            </w:r>
            <w:r w:rsidR="001F2334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舍</w:t>
            </w:r>
            <w:r w:rsidR="001F2334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) 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具有 宿舍服務臺</w:t>
            </w:r>
            <w:r w:rsidR="001F2334"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1F2334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24</w:t>
            </w:r>
            <w:r w:rsidR="001F2334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小時緊急聯絡專線、住宿 環境中英雙語化等住宿相關輔導措</w:t>
            </w:r>
            <w:r w:rsidR="001F2334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施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等，</w:t>
            </w:r>
          </w:p>
          <w:p w:rsidR="001F2334" w:rsidRPr="00BE725C" w:rsidRDefault="001F2334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1F2334" w:rsidRPr="00BE725C" w:rsidRDefault="00B35E7D" w:rsidP="00B35E7D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具有中英雙語化校內住宿輔</w:t>
            </w:r>
            <w:r w:rsidR="001F2334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導</w:t>
            </w:r>
            <w:r w:rsidR="001F2334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(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含學校或 包租宿舍</w:t>
            </w:r>
            <w:r w:rsidR="001F2334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)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，視相關輔導措施多寡而定，</w:t>
            </w:r>
          </w:p>
          <w:p w:rsidR="001F2334" w:rsidRPr="00BE725C" w:rsidRDefault="001F2334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1-2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1F2334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3.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合指標要求、無校內住宿</w:t>
            </w:r>
            <w:r w:rsidR="001F2334" w:rsidRPr="00BE725C">
              <w:rPr>
                <w:rFonts w:ascii="標楷體" w:eastAsia="標楷體" w:hAnsi="標楷體" w:cs="BatangChe"/>
                <w:spacing w:val="1"/>
                <w:sz w:val="24"/>
                <w:szCs w:val="24"/>
                <w:lang w:eastAsia="zh-TW"/>
              </w:rPr>
              <w:t>(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含包租宿舍</w:t>
            </w:r>
            <w:r w:rsidR="001F2334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)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輔 導者，</w:t>
            </w:r>
            <w:r w:rsidR="001F2334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1F2334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1F2334" w:rsidRPr="00E030AA" w:rsidRDefault="001F2334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學務處</w:t>
            </w:r>
          </w:p>
        </w:tc>
      </w:tr>
      <w:tr w:rsidR="00BE725C" w:rsidRPr="00BE725C" w:rsidTr="00BE725C">
        <w:trPr>
          <w:trHeight w:hRule="exact" w:val="289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BatangChe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6.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校安及緊急事件處理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5%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境外學生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基本資料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lang w:eastAsia="zh-TW"/>
              </w:rPr>
              <w:t>此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pacing w:val="1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 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35E7D" w:rsidP="00B35E7D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具有境外學生中英雙語姓名欄位、及緊急 連絡人地址及聯繫電話等資料，並依個諮 法妥善保管者，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合指標要求、無境外學生基本資料者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0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1F2334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教務處</w:t>
            </w:r>
            <w:r w:rsidRPr="00E030AA">
              <w:rPr>
                <w:rFonts w:ascii="新細明體" w:eastAsia="新細明體" w:hAnsi="新細明體" w:cs="細明體" w:hint="eastAsia"/>
                <w:color w:val="FF0000"/>
                <w:sz w:val="24"/>
                <w:szCs w:val="24"/>
                <w:lang w:eastAsia="zh-TW"/>
              </w:rPr>
              <w:t>、</w:t>
            </w: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學務處</w:t>
            </w:r>
          </w:p>
        </w:tc>
      </w:tr>
      <w:tr w:rsidR="00BE725C" w:rsidRPr="00BE725C" w:rsidTr="00BE725C">
        <w:trPr>
          <w:trHeight w:hRule="exact" w:val="361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住宿管理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機制及</w:t>
            </w:r>
            <w:r w:rsidRPr="00BE725C">
              <w:rPr>
                <w:rFonts w:ascii="標楷體" w:eastAsia="標楷體" w:hAnsi="標楷體" w:cs="細明體"/>
                <w:spacing w:val="6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Calibri"/>
                <w:b/>
                <w:spacing w:val="1"/>
                <w:sz w:val="24"/>
                <w:szCs w:val="24"/>
                <w:u w:val="single" w:color="000000"/>
                <w:lang w:eastAsia="zh-TW"/>
              </w:rPr>
              <w:t>24</w:t>
            </w:r>
            <w:r w:rsidRPr="00BE725C">
              <w:rPr>
                <w:rFonts w:ascii="標楷體" w:eastAsia="標楷體" w:hAnsi="標楷體"/>
                <w:spacing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小時中英雙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語緊急聯絡電話，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無的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u w:val="single" w:color="000000"/>
                <w:lang w:eastAsia="zh-TW"/>
              </w:rPr>
              <w:t>差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 區隔，建議評分數多者先列，由委員現場測 試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08553E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設有宿舍管理機制及得以英文回覆委員的 現場測試題目，管理機制須提供橫向單位 通報、會議記錄等，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08553E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合指標要求、無住宿管理機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制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或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24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小時 中英雙語緊急聯絡電話者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1F2334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學務處</w:t>
            </w:r>
          </w:p>
        </w:tc>
      </w:tr>
      <w:tr w:rsidR="00BE725C" w:rsidRPr="00BE725C" w:rsidTr="0008553E">
        <w:trPr>
          <w:trHeight w:hRule="exact" w:val="2872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08553E">
            <w:pPr>
              <w:tabs>
                <w:tab w:val="left" w:pos="31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BatangChe"/>
                <w:sz w:val="24"/>
                <w:szCs w:val="24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</w:rPr>
              <w:t>7.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</w:rPr>
              <w:t>獎學金申請服 務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</w:rPr>
              <w:t>5%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1F2334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中英文版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境外學生獎學金辦法、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申請相關資訊、注意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事項說明及常見問題說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明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，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無的差別，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 分數多者先列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1F2334" w:rsidRPr="00BE725C" w:rsidRDefault="0008553E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符合中英文版獎學金辦法及中英文版獎學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金常見問題等</w:t>
            </w:r>
            <w:r w:rsidR="001F2334"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1F2334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="001F2334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項要求者</w:t>
            </w:r>
            <w:r w:rsidR="001F2334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="001F2334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="001F2334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08553E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合指標要求、無中英文版境外學生獎學金 辦法者，</w:t>
            </w:r>
            <w:r w:rsidR="001F2334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1F2334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1F2334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學務處</w:t>
            </w:r>
          </w:p>
        </w:tc>
      </w:tr>
    </w:tbl>
    <w:p w:rsidR="00F5299E" w:rsidRPr="00BE725C" w:rsidRDefault="00F5299E" w:rsidP="00E030AA">
      <w:pPr>
        <w:spacing w:before="100" w:beforeAutospacing="1" w:after="100" w:afterAutospacing="1"/>
        <w:contextualSpacing/>
        <w:mirrorIndents/>
        <w:jc w:val="right"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CB5A72" w:rsidP="00E82339">
      <w:pPr>
        <w:spacing w:before="100" w:beforeAutospacing="1" w:after="100" w:afterAutospacing="1"/>
        <w:contextualSpacing/>
        <w:mirrorIndents/>
        <w:jc w:val="center"/>
        <w:rPr>
          <w:rFonts w:ascii="標楷體" w:eastAsia="標楷體" w:hAnsi="標楷體" w:cs="Calibri"/>
          <w:sz w:val="24"/>
          <w:szCs w:val="24"/>
          <w:lang w:eastAsia="zh-TW"/>
        </w:rPr>
        <w:sectPr w:rsidR="00F5299E" w:rsidRPr="00BE725C">
          <w:pgSz w:w="11920" w:h="16840"/>
          <w:pgMar w:top="1380" w:right="800" w:bottom="280" w:left="1120" w:header="729" w:footer="0" w:gutter="0"/>
          <w:cols w:space="720"/>
        </w:sectPr>
      </w:pPr>
      <w:r>
        <w:rPr>
          <w:rFonts w:ascii="標楷體" w:eastAsia="標楷體" w:hAnsi="標楷體"/>
          <w:sz w:val="24"/>
          <w:szCs w:val="24"/>
        </w:rPr>
        <w:pict>
          <v:group id="_x0000_s1032" style="position:absolute;left:0;text-align:left;margin-left:508.65pt;margin-top:134.35pt;width:12pt;height:0;z-index:-251659776;mso-position-horizontal-relative:page;mso-position-vertical-relative:page" coordorigin="10173,2687" coordsize="240,0">
            <v:shape id="_x0000_s1033" style="position:absolute;left:10173;top:2687;width:240;height:0" coordorigin="10173,2687" coordsize="240,0" path="m10173,2687r240,e" filled="f" strokeweight=".7pt">
              <v:path arrowok="t"/>
            </v:shape>
            <w10:wrap anchorx="page" anchory="page"/>
          </v:group>
        </w:pict>
      </w: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</w:rPr>
      </w:pPr>
    </w:p>
    <w:tbl>
      <w:tblPr>
        <w:tblW w:w="9915" w:type="dxa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2"/>
        <w:gridCol w:w="1462"/>
        <w:gridCol w:w="4935"/>
        <w:gridCol w:w="681"/>
      </w:tblGrid>
      <w:tr w:rsidR="001F2334" w:rsidRPr="00BE725C" w:rsidTr="0008553E">
        <w:trPr>
          <w:trHeight w:val="3357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2334" w:rsidRPr="00BE725C" w:rsidRDefault="001F2334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2334" w:rsidRPr="00BE725C" w:rsidRDefault="001F2334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2334" w:rsidRPr="00BE725C" w:rsidRDefault="001F2334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1F2334" w:rsidRPr="00BE725C" w:rsidRDefault="001F2334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獎學金申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請諮詢、審核進度查詢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機制及證明</w:t>
            </w:r>
            <w:r w:rsidRPr="00BE725C">
              <w:rPr>
                <w:rFonts w:ascii="標楷體" w:eastAsia="標楷體" w:hAnsi="標楷體" w:cs="細明體"/>
                <w:spacing w:val="4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 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程度的差別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0-2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 評分數多者先列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1F2334" w:rsidRPr="00BE725C" w:rsidRDefault="0008553E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具有獎學金申請審查機制及獎學金證明書</w:t>
            </w:r>
          </w:p>
          <w:p w:rsidR="001F2334" w:rsidRPr="00BE725C" w:rsidRDefault="001F2334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個項目者，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1F2334" w:rsidRPr="00BE725C" w:rsidRDefault="0008553E" w:rsidP="0008553E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僅具獎學金申請審查機制或獎學金證明書 其中一項者，</w:t>
            </w:r>
            <w:r w:rsidR="001F2334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="001F2334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1F2334" w:rsidRPr="00BE725C" w:rsidRDefault="0008553E" w:rsidP="0008553E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3.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合指標要求、無獎學金申請審查機制或獎 學金證明書者，</w:t>
            </w:r>
            <w:r w:rsidR="001F2334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1F2334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1F2334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1F2334" w:rsidRPr="00E030AA" w:rsidRDefault="001F2334" w:rsidP="00E82339">
            <w:pPr>
              <w:tabs>
                <w:tab w:val="left" w:pos="25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學務處</w:t>
            </w:r>
          </w:p>
        </w:tc>
      </w:tr>
      <w:tr w:rsidR="00BE725C" w:rsidRPr="00BE725C" w:rsidTr="0008553E">
        <w:trPr>
          <w:trHeight w:hRule="exact" w:val="2719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08553E" w:rsidP="0008553E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8.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申訴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8%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中英雙語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版境外學生申訴相關辦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法列入境外學生手冊 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u w:val="single" w:color="000000"/>
                <w:lang w:eastAsia="zh-TW"/>
              </w:rPr>
              <w:t>無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08553E" w:rsidP="0008553E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將中英雙語版境外學生申訴辦法列入境外 學生手冊者，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08553E" w:rsidP="0008553E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合指標要求、未有中英雙語版境外學生申 訴辦法或未列入境外學生手冊者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1F2334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學務處</w:t>
            </w:r>
          </w:p>
        </w:tc>
      </w:tr>
      <w:tr w:rsidR="00BE725C" w:rsidRPr="00BE725C" w:rsidTr="0008553E">
        <w:trPr>
          <w:trHeight w:hRule="exact" w:val="3239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中英雙語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版申訴及諮詢之標準作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業流程 ，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程度的差別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0-2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08553E" w:rsidP="0008553E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提供中英雙語版申訴及諮詢標準作業流程 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08553E" w:rsidP="0008553E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僅提供中英雙語版申訴或是諮詢標準作業 流程其中一項者，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08553E" w:rsidP="0008553E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合指標要求、無中英雙語版申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訴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或諮詢之 標準作業流程者，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1F2334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學務處</w:t>
            </w:r>
          </w:p>
        </w:tc>
      </w:tr>
      <w:tr w:rsidR="00BE725C" w:rsidRPr="00BE725C" w:rsidTr="00BE725C">
        <w:trPr>
          <w:trHeight w:hRule="exact" w:val="2172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諮詢申訴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窗口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無的差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別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08553E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1.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提供境外學生諮詢申訴窗口者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08553E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合指標要求、無提供諮詢申訴窗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口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0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94575F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學務處</w:t>
            </w:r>
          </w:p>
        </w:tc>
      </w:tr>
    </w:tbl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CB5A72" w:rsidP="00E82339">
      <w:pPr>
        <w:spacing w:before="100" w:beforeAutospacing="1" w:after="100" w:afterAutospacing="1"/>
        <w:contextualSpacing/>
        <w:mirrorIndents/>
        <w:jc w:val="center"/>
        <w:rPr>
          <w:rFonts w:ascii="標楷體" w:eastAsia="標楷體" w:hAnsi="標楷體" w:cs="Calibri" w:hint="eastAsia"/>
          <w:sz w:val="24"/>
          <w:szCs w:val="24"/>
          <w:lang w:eastAsia="zh-TW"/>
        </w:rPr>
        <w:sectPr w:rsidR="00F5299E" w:rsidRPr="00BE725C">
          <w:pgSz w:w="11920" w:h="16840"/>
          <w:pgMar w:top="1380" w:right="800" w:bottom="280" w:left="1120" w:header="729" w:footer="0" w:gutter="0"/>
          <w:cols w:space="720"/>
        </w:sectPr>
      </w:pPr>
      <w:r>
        <w:rPr>
          <w:rFonts w:ascii="標楷體" w:eastAsia="標楷體" w:hAnsi="標楷體"/>
          <w:sz w:val="24"/>
          <w:szCs w:val="24"/>
        </w:rPr>
        <w:pict>
          <v:group id="_x0000_s1030" style="position:absolute;left:0;text-align:left;margin-left:404.6pt;margin-top:-103.85pt;width:66pt;height:0;z-index:-251658752;mso-position-horizontal-relative:page" coordorigin="8092,-2077" coordsize="1320,0">
            <v:shape id="_x0000_s1031" style="position:absolute;left:8092;top:-2077;width:1320;height:0" coordorigin="8092,-2077" coordsize="1320,0" path="m8092,-2077r1320,e" filled="f" strokeweight=".24697mm">
              <v:path arrowok="t"/>
            </v:shape>
            <w10:wrap anchorx="page"/>
          </v:group>
        </w:pict>
      </w: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</w:rPr>
      </w:pPr>
    </w:p>
    <w:tbl>
      <w:tblPr>
        <w:tblW w:w="9915" w:type="dxa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2"/>
        <w:gridCol w:w="1462"/>
        <w:gridCol w:w="4920"/>
        <w:gridCol w:w="696"/>
      </w:tblGrid>
      <w:tr w:rsidR="00BE725C" w:rsidRPr="00BE725C" w:rsidTr="0094575F">
        <w:trPr>
          <w:trHeight w:hRule="exact" w:val="433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08553E" w:rsidP="0008553E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9.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畢業後服務</w:t>
            </w:r>
          </w:p>
          <w:p w:rsidR="00BE725C" w:rsidRPr="00BE725C" w:rsidRDefault="00BE725C" w:rsidP="0008553E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</w:rPr>
              <w:t>3%</w:t>
            </w:r>
          </w:p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校友聯絡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與就業輔導專責單位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7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程度的差別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0-3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 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08553E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具有境外學生校友聯絡與就業輔導專責單 位，並公開各地校友會聯絡資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訊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3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08553E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僅具有境外學生校友聯絡或就業輔導專責 單位任一項，並視有無公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開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各地校友會聯 絡資訊者，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1-2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08553E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合指標要求、無提供境外學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生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校友聯絡與 就業輔導專責單位者，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94575F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研發處</w:t>
            </w:r>
          </w:p>
        </w:tc>
      </w:tr>
      <w:tr w:rsidR="00BE725C" w:rsidRPr="00BE725C" w:rsidTr="0094575F">
        <w:trPr>
          <w:trHeight w:hRule="exact" w:val="3610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 xml:space="preserve">國際化校園及 外文網站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(20%)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08553E" w:rsidP="0008553E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校園資 訊中英 雙語化 標示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4%</w:t>
            </w:r>
          </w:p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校園建築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物標示牌、樓層配置圖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及安全警示標誌中英雙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語化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程度的差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別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0-2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分作區隔，建議評分數多者先列，由委員現場 參觀評分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1.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全面校園建築物、樓層配置及安全警示標 誌中英雙語化，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2. 60%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以上或大部分校園建築物、樓層配置及 安全警示標誌中英雙語化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3.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校園建築物、樓層配置及安全警示標誌中 英雙語化不足，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94575F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總務處</w:t>
            </w:r>
          </w:p>
        </w:tc>
      </w:tr>
      <w:tr w:rsidR="00BE725C" w:rsidRPr="00BE725C" w:rsidTr="0094575F">
        <w:trPr>
          <w:trHeight w:hRule="exact" w:val="289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各單位業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務窗口標示中英雙語化</w:t>
            </w:r>
            <w:r w:rsidRPr="00BE725C">
              <w:rPr>
                <w:rFonts w:ascii="標楷體" w:eastAsia="標楷體" w:hAnsi="標楷體" w:cs="細明體"/>
                <w:spacing w:val="4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程度的差別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0-2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 先列，由委員現場參觀評分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1.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全面各單位業務窗口標誌中英雙語化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2. 60%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以上或大部分各單位業務窗口標誌中英 雙語化，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3.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各單位業務窗口中英雙語化不足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94575F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總務處</w:t>
            </w:r>
          </w:p>
        </w:tc>
      </w:tr>
      <w:tr w:rsidR="00BE725C" w:rsidRPr="00BE725C" w:rsidTr="0094575F">
        <w:trPr>
          <w:trHeight w:hRule="exact" w:val="3166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08553E" w:rsidP="0008553E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活動及其他資 訊中英 雙語化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2%</w:t>
            </w:r>
          </w:p>
        </w:tc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08553E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與境外生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相關之表單及電腦資訊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系統中英雙語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程度的差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u w:val="single" w:color="000000"/>
                <w:lang w:eastAsia="zh-TW"/>
              </w:rPr>
              <w:t>別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pacing w:val="1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-2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 建議評分數多者先列，由委員現場測試評 分，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80%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以上中英雙語教務表單及</w:t>
            </w:r>
            <w:r w:rsidRPr="00BE725C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80%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以 上之選課系統及圖書館系統已完成中英雙 語介面，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E51F9F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</w:t>
            </w:r>
            <w:r w:rsidR="00BE725C"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40%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以上中英雙語教務表單及</w:t>
            </w:r>
            <w:r w:rsidR="00BE725C" w:rsidRPr="00BE725C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40%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以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94575F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圖書館</w:t>
            </w:r>
            <w:r w:rsidRPr="00E030AA">
              <w:rPr>
                <w:rFonts w:ascii="新細明體" w:eastAsia="新細明體" w:hAnsi="新細明體" w:cs="細明體" w:hint="eastAsia"/>
                <w:color w:val="FF0000"/>
                <w:sz w:val="24"/>
                <w:szCs w:val="24"/>
                <w:lang w:eastAsia="zh-TW"/>
              </w:rPr>
              <w:t>、</w:t>
            </w: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電算中心</w:t>
            </w:r>
            <w:r w:rsidRPr="00E030AA">
              <w:rPr>
                <w:rFonts w:ascii="新細明體" w:eastAsia="新細明體" w:hAnsi="新細明體" w:cs="細明體" w:hint="eastAsia"/>
                <w:color w:val="FF0000"/>
                <w:sz w:val="24"/>
                <w:szCs w:val="24"/>
                <w:lang w:eastAsia="zh-TW"/>
              </w:rPr>
              <w:t>、</w:t>
            </w: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教務處</w:t>
            </w:r>
          </w:p>
        </w:tc>
      </w:tr>
    </w:tbl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CB5A72" w:rsidP="00E82339">
      <w:pPr>
        <w:spacing w:before="100" w:beforeAutospacing="1" w:after="100" w:afterAutospacing="1"/>
        <w:contextualSpacing/>
        <w:mirrorIndents/>
        <w:jc w:val="center"/>
        <w:rPr>
          <w:rFonts w:ascii="標楷體" w:eastAsia="標楷體" w:hAnsi="標楷體" w:cs="Calibri"/>
          <w:sz w:val="24"/>
          <w:szCs w:val="24"/>
          <w:lang w:eastAsia="zh-TW"/>
        </w:rPr>
        <w:sectPr w:rsidR="00F5299E" w:rsidRPr="00BE725C">
          <w:pgSz w:w="11920" w:h="16840"/>
          <w:pgMar w:top="1380" w:right="800" w:bottom="280" w:left="1120" w:header="729" w:footer="0" w:gutter="0"/>
          <w:cols w:space="720"/>
        </w:sectPr>
      </w:pPr>
      <w:r>
        <w:rPr>
          <w:rFonts w:ascii="標楷體" w:eastAsia="標楷體" w:hAnsi="標楷體"/>
          <w:sz w:val="24"/>
          <w:szCs w:val="24"/>
        </w:rPr>
        <w:pict>
          <v:group id="_x0000_s1028" style="position:absolute;left:0;text-align:left;margin-left:404.6pt;margin-top:332.4pt;width:60pt;height:0;z-index:-251657728;mso-position-horizontal-relative:page;mso-position-vertical-relative:page" coordorigin="8092,6648" coordsize="1200,0">
            <v:shape id="_x0000_s1029" style="position:absolute;left:8092;top:6648;width:1200;height:0" coordorigin="8092,6648" coordsize="1200,0" path="m8092,6648r1200,e" filled="f" strokeweight=".7pt">
              <v:path arrowok="t"/>
            </v:shape>
            <w10:wrap anchorx="page" anchory="page"/>
          </v:group>
        </w:pict>
      </w: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2"/>
        <w:gridCol w:w="1462"/>
        <w:gridCol w:w="4800"/>
        <w:gridCol w:w="674"/>
      </w:tblGrid>
      <w:tr w:rsidR="00BE725C" w:rsidRPr="00BE725C" w:rsidTr="00E030AA">
        <w:trPr>
          <w:trHeight w:hRule="exact" w:val="1538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上中英雙語介面之選課系統及圖書館系 統，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E51F9F" w:rsidP="00E51F9F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教務表單及選課系統、圖書館系統中英雙 語化不足，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</w:tr>
      <w:tr w:rsidR="00BE725C" w:rsidRPr="00BE725C" w:rsidTr="00BE725C">
        <w:trPr>
          <w:trHeight w:hRule="exact" w:val="325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E51F9F" w:rsidP="00E51F9F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3.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文宣廣告</w:t>
            </w:r>
            <w:r w:rsidR="00BE725C"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</w:rPr>
              <w:t xml:space="preserve"> 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2%</w:t>
            </w:r>
          </w:p>
        </w:tc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中英文版</w:t>
            </w:r>
            <w:r w:rsidRPr="00BE725C">
              <w:rPr>
                <w:rFonts w:ascii="標楷體" w:eastAsia="標楷體" w:hAnsi="標楷體" w:cs="細明體"/>
                <w:spacing w:val="3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紙本與電子版招生文宣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、宣傳海報及媒體廣告</w:t>
            </w:r>
            <w:r w:rsidRPr="00BE725C">
              <w:rPr>
                <w:rFonts w:ascii="標楷體" w:eastAsia="標楷體" w:hAnsi="標楷體" w:cs="細明體"/>
                <w:spacing w:val="3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pacing w:val="-2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E51F9F" w:rsidP="00E51F9F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提供有中英文版招生文宣、中英文版宣傳 海報及於媒體廣告刊登中英文版文宣之事 證者，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E51F9F" w:rsidP="00E51F9F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合指標要求、無中英文版紙本與電子版招 生文宣、宣傳海報及媒體廣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告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94575F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公關中心</w:t>
            </w:r>
          </w:p>
        </w:tc>
      </w:tr>
      <w:tr w:rsidR="00BE725C" w:rsidRPr="00BE725C" w:rsidTr="00BE725C">
        <w:trPr>
          <w:trHeight w:hRule="exact" w:val="361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E51F9F" w:rsidP="00E51F9F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BatangChe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4.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網站中 英文雙語化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12%</w:t>
            </w:r>
          </w:p>
        </w:tc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首頁資訊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專區及網站資訊即時性</w:t>
            </w:r>
            <w:r w:rsidRPr="00BE725C">
              <w:rPr>
                <w:rFonts w:ascii="標楷體" w:eastAsia="標楷體" w:hAnsi="標楷體" w:cs="細明體"/>
                <w:spacing w:val="4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程度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0-2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 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E51F9F" w:rsidP="00E51F9F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符合英文首頁資訊專區及每月至少一則英 文訊息或活動要求者，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E51F9F" w:rsidP="00E51F9F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具有英文首頁資訊專區，但網站資訊即時 更新性不足，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E51F9F" w:rsidP="00E51F9F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合指標要求、無中英文雙語首頁資訊專區 或網站資訊即時性不足，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BE725C" w:rsidRPr="00BE725C">
              <w:rPr>
                <w:rFonts w:ascii="標楷體" w:eastAsia="標楷體" w:hAnsi="標楷體" w:cs="BatangChe"/>
                <w:spacing w:val="-59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94575F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全校各單位</w:t>
            </w:r>
          </w:p>
        </w:tc>
      </w:tr>
      <w:tr w:rsidR="00BE725C" w:rsidRPr="00BE725C" w:rsidTr="00BE725C">
        <w:trPr>
          <w:trHeight w:hRule="exact" w:val="289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學校整體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表現與各系所特色及首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頁重要訊息中英雙語 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u w:val="single" w:color="000000"/>
                <w:lang w:eastAsia="zh-TW"/>
              </w:rPr>
              <w:t>無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符合全面性學校特色、國際化發展及系所 特色及首頁重要訊息中英雙語化要求者，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合指標要求、未符訪視指標者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94575F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全校各</w:t>
            </w:r>
            <w:r w:rsid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教學</w:t>
            </w: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單位</w:t>
            </w:r>
          </w:p>
        </w:tc>
      </w:tr>
      <w:tr w:rsidR="00BE725C" w:rsidRPr="00BE725C" w:rsidTr="00BE725C">
        <w:trPr>
          <w:trHeight w:hRule="exact" w:val="2532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中英文版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境外學生來臺就學相關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學程、英語授課課程與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師資介紹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lang w:eastAsia="zh-TW"/>
              </w:rPr>
              <w:t>此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程度的差別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0-2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提供全面性教學單位師資、學程、英語授 課學程、修習規定等雙語化資訊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50%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以上之教學單位師資、學程、英 語授課學程、修習規定等雙語化資訊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94575F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BatangChe" w:hint="eastAsia"/>
                <w:color w:val="FF0000"/>
                <w:sz w:val="24"/>
                <w:szCs w:val="24"/>
                <w:lang w:eastAsia="zh-TW"/>
              </w:rPr>
              <w:t>全校各</w:t>
            </w:r>
            <w:r w:rsidR="00E030AA" w:rsidRPr="00E030AA">
              <w:rPr>
                <w:rFonts w:ascii="標楷體" w:eastAsia="標楷體" w:hAnsi="標楷體" w:cs="BatangChe" w:hint="eastAsia"/>
                <w:color w:val="FF0000"/>
                <w:sz w:val="24"/>
                <w:szCs w:val="24"/>
                <w:lang w:eastAsia="zh-TW"/>
              </w:rPr>
              <w:t>教學</w:t>
            </w:r>
            <w:r w:rsidRPr="00E030AA">
              <w:rPr>
                <w:rFonts w:ascii="標楷體" w:eastAsia="標楷體" w:hAnsi="標楷體" w:cs="BatangChe" w:hint="eastAsia"/>
                <w:color w:val="FF0000"/>
                <w:sz w:val="24"/>
                <w:szCs w:val="24"/>
                <w:lang w:eastAsia="zh-TW"/>
              </w:rPr>
              <w:t>單位</w:t>
            </w:r>
          </w:p>
        </w:tc>
      </w:tr>
    </w:tbl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jc w:val="center"/>
        <w:rPr>
          <w:rFonts w:ascii="標楷體" w:eastAsia="標楷體" w:hAnsi="標楷體" w:cs="Calibri"/>
          <w:sz w:val="24"/>
          <w:szCs w:val="24"/>
          <w:lang w:eastAsia="zh-TW"/>
        </w:rPr>
        <w:sectPr w:rsidR="00F5299E" w:rsidRPr="00BE725C">
          <w:pgSz w:w="11920" w:h="16840"/>
          <w:pgMar w:top="1380" w:right="800" w:bottom="280" w:left="1120" w:header="729" w:footer="0" w:gutter="0"/>
          <w:cols w:space="720"/>
        </w:sect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2"/>
        <w:gridCol w:w="1462"/>
        <w:gridCol w:w="4770"/>
        <w:gridCol w:w="704"/>
      </w:tblGrid>
      <w:tr w:rsidR="00BE725C" w:rsidRPr="00BE725C" w:rsidTr="00BE725C">
        <w:trPr>
          <w:trHeight w:hRule="exact" w:val="1810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教學單位師資、學程、英語授課學程、修 習規定等雙語化資訊不足，或無填報、無 提供佐證資料或佐證資料與指標內含無關 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</w:tr>
      <w:tr w:rsidR="00BE725C" w:rsidRPr="00BE725C" w:rsidTr="00BE725C">
        <w:trPr>
          <w:trHeight w:hRule="exact" w:val="289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提供中英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文版校園及學生周邊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食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衣住行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相關之地圖， </w:t>
            </w:r>
            <w:r w:rsidRPr="00BE725C">
              <w:rPr>
                <w:rFonts w:ascii="標楷體" w:eastAsia="標楷體" w:hAnsi="標楷體" w:cs="細明體"/>
                <w:spacing w:val="-117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無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u w:val="single" w:color="000000"/>
                <w:lang w:eastAsia="zh-TW"/>
              </w:rPr>
              <w:t>的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 作區隔，建議評分數多者先列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提供中英文版校園及學生周邊食衣住行相 關地圖者，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合指標要求、未提供中英文版校園及學生 周邊食衣住行相關地圖者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94575F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學務處</w:t>
            </w:r>
          </w:p>
        </w:tc>
      </w:tr>
      <w:tr w:rsidR="00BE725C" w:rsidRPr="00BE725C" w:rsidTr="0094575F">
        <w:trPr>
          <w:trHeight w:hRule="exact" w:val="4057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中英文版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與境外學生相關之法令</w:t>
            </w:r>
            <w:r w:rsidRPr="00BE725C">
              <w:rPr>
                <w:rFonts w:ascii="標楷體" w:eastAsia="標楷體" w:hAnsi="標楷體" w:cs="細明體"/>
                <w:spacing w:val="4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規章、就學相關規定與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作業辦法，設有諮詢聯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絡窗口及常見問題檢索</w:t>
            </w:r>
            <w:r w:rsidRPr="00BE725C">
              <w:rPr>
                <w:rFonts w:ascii="標楷體" w:eastAsia="標楷體" w:hAnsi="標楷體" w:cs="細明體"/>
                <w:spacing w:val="3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pacing w:val="-2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符合提供中英文版教務法令規章、設有中 英文諮詢窗口及提供中英文常見問題檢索 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合指標要求、未有中英文版與境外學生相 關之法令規章者，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94575F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教務處</w:t>
            </w:r>
          </w:p>
        </w:tc>
      </w:tr>
      <w:tr w:rsidR="00BE725C" w:rsidRPr="00BE725C" w:rsidTr="0094575F">
        <w:trPr>
          <w:trHeight w:hRule="exact" w:val="3533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94575F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中英文版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境外學生來臺就學相關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學雜費收費標準、獎勵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措施、獎助學金資訊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7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 多者先列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提供中英文版外國學生來臺就學學雜費收 費規定、獎勵措施及獎助學金資訊者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2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合指標要求、未有中英文版外國學生來臺 就學學雜費收費規定、獎勵措施及獎助學 金資訊者，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0C0996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會計室</w:t>
            </w:r>
          </w:p>
        </w:tc>
      </w:tr>
      <w:tr w:rsidR="00BE725C" w:rsidRPr="00BE725C" w:rsidTr="0094575F">
        <w:trPr>
          <w:trHeight w:hRule="exact" w:val="1840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</w:rPr>
              <w:t>國際合作與交 流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</w:rPr>
              <w:t>(15%)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E51F9F" w:rsidP="00E51F9F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國際合作</w:t>
            </w:r>
            <w:r w:rsidR="00BE725C"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</w:rPr>
              <w:t xml:space="preserve"> 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3%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學校國際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交流合作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策略及國際合</w:t>
            </w:r>
            <w:r w:rsidRPr="00BE725C">
              <w:rPr>
                <w:rFonts w:ascii="標楷體" w:eastAsia="標楷體" w:hAnsi="標楷體" w:cs="細明體"/>
                <w:spacing w:val="3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作計畫實施作業要點或辦法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無的差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別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E51F9F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訂有國際交流合作策略及國際產學合作實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0C0996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研發處</w:t>
            </w:r>
          </w:p>
        </w:tc>
      </w:tr>
    </w:tbl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CB5A72" w:rsidP="00E82339">
      <w:pPr>
        <w:spacing w:before="100" w:beforeAutospacing="1" w:after="100" w:afterAutospacing="1"/>
        <w:contextualSpacing/>
        <w:mirrorIndents/>
        <w:jc w:val="center"/>
        <w:rPr>
          <w:rFonts w:ascii="標楷體" w:eastAsia="標楷體" w:hAnsi="標楷體" w:cs="Calibri"/>
          <w:sz w:val="24"/>
          <w:szCs w:val="24"/>
          <w:lang w:eastAsia="zh-TW"/>
        </w:rPr>
        <w:sectPr w:rsidR="00F5299E" w:rsidRPr="00BE725C">
          <w:pgSz w:w="11920" w:h="16840"/>
          <w:pgMar w:top="1380" w:right="800" w:bottom="280" w:left="1120" w:header="729" w:footer="0" w:gutter="0"/>
          <w:cols w:space="720"/>
        </w:sectPr>
      </w:pPr>
      <w:r>
        <w:rPr>
          <w:rFonts w:ascii="標楷體" w:eastAsia="標楷體" w:hAnsi="標楷體"/>
          <w:sz w:val="24"/>
          <w:szCs w:val="24"/>
        </w:rPr>
        <w:pict>
          <v:group id="_x0000_s1026" style="position:absolute;left:0;text-align:left;margin-left:404.6pt;margin-top:-49.85pt;width:66pt;height:0;z-index:-251656704;mso-position-horizontal-relative:page" coordorigin="8092,-997" coordsize="1320,0">
            <v:shape id="_x0000_s1027" style="position:absolute;left:8092;top:-997;width:1320;height:0" coordorigin="8092,-997" coordsize="1320,0" path="m8092,-997r1320,e" filled="f" strokeweight=".24697mm">
              <v:path arrowok="t"/>
            </v:shape>
            <w10:wrap anchorx="page"/>
          </v:group>
        </w:pict>
      </w: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2"/>
        <w:gridCol w:w="1462"/>
        <w:gridCol w:w="4695"/>
        <w:gridCol w:w="779"/>
      </w:tblGrid>
      <w:tr w:rsidR="00BE725C" w:rsidRPr="00BE725C" w:rsidTr="00BE725C">
        <w:trPr>
          <w:trHeight w:hRule="exact" w:val="1450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施要點或辦法者，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E51F9F" w:rsidP="00E51F9F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無填報、無提供佐證資料、佐證資料不符 合指標要求、未有國際交流合作策略及國 際產學合作實施要點或辦法者</w:t>
            </w:r>
            <w:r w:rsidR="00BE725C"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="00BE725C"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</w:tr>
      <w:tr w:rsidR="00BE725C" w:rsidRPr="00BE725C" w:rsidTr="00BE725C">
        <w:trPr>
          <w:trHeight w:hRule="exact" w:val="289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E51F9F" w:rsidP="00E51F9F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教師國際合作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3%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教師的國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際招聘及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建置獎勵國際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化之制度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 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 建議評分數多者先列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1.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學校聘有教授專業課程之外籍教師或建置 獎勵國際化之制度者，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</w:t>
            </w:r>
          </w:p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2.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無填報、無提供佐證資料、佐證資料與指 標內含無關、無聘有外籍教師或無建置獎 勵國際化之制度者，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E030AA" w:rsidP="00E8233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各教學單位</w:t>
            </w:r>
          </w:p>
        </w:tc>
      </w:tr>
      <w:tr w:rsidR="00BE725C" w:rsidRPr="00BE725C" w:rsidTr="00BE725C">
        <w:trPr>
          <w:trHeight w:hRule="exact" w:val="433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邀請國際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訪問學者來臺實施辦法</w:t>
            </w:r>
            <w:r w:rsidRPr="00BE725C">
              <w:rPr>
                <w:rFonts w:ascii="標楷體" w:eastAsia="標楷體" w:hAnsi="標楷體" w:cs="細明體"/>
                <w:spacing w:val="4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程度的差別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0-2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 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訂有國際訪問學者來臺講學相關實施辦 法，同時聘有外籍訪問學者來臺進行教學 或研究交流工作者，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僅訂有國際訪問學者來臺講學相關實施辦 法，但未聘請外籍訪問學者擔任教學或研 究工作者，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51F9F">
            <w:pPr>
              <w:tabs>
                <w:tab w:val="left" w:pos="34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無填報、無提供佐證資料、佐證資料與指 標內含無關、無訂有國際訪問學者來臺講 學相關實施辦法者，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0C0996" w:rsidP="00E82339">
            <w:pPr>
              <w:tabs>
                <w:tab w:val="left" w:pos="58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研發處</w:t>
            </w:r>
          </w:p>
        </w:tc>
      </w:tr>
      <w:tr w:rsidR="00BE725C" w:rsidRPr="00BE725C" w:rsidTr="00BE725C">
        <w:trPr>
          <w:trHeight w:hRule="exact" w:val="289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E51F9F" w:rsidP="00E51F9F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</w:rPr>
              <w:t>3.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</w:rPr>
              <w:t>學生國 際交流</w:t>
            </w:r>
            <w:r w:rsidR="00BE725C" w:rsidRPr="00BE725C">
              <w:rPr>
                <w:rFonts w:ascii="標楷體" w:eastAsia="標楷體" w:hAnsi="標楷體" w:cs="BatangChe"/>
                <w:sz w:val="24"/>
                <w:szCs w:val="24"/>
              </w:rPr>
              <w:t>9%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雙聯學制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規章、作業要點或實施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辦法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，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 評分數多者先列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51F9F">
            <w:pPr>
              <w:tabs>
                <w:tab w:val="left" w:pos="25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訂有雙聯學制規章或作業要點或實施辦法 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51F9F">
            <w:pPr>
              <w:tabs>
                <w:tab w:val="left" w:pos="25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無填報、無提供佐證資料、佐證資料與指 標內含無關、未訂有雙聯學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制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相關規定 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0C0996" w:rsidP="00E82339">
            <w:pPr>
              <w:tabs>
                <w:tab w:val="left" w:pos="50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教務處</w:t>
            </w:r>
          </w:p>
        </w:tc>
      </w:tr>
      <w:tr w:rsidR="00BE725C" w:rsidRPr="00BE725C" w:rsidTr="00BE725C">
        <w:trPr>
          <w:trHeight w:hRule="exact" w:val="2172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短期研修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及交換學習作業要點或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實施辦法以及選課與成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績認定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lang w:eastAsia="zh-TW"/>
              </w:rPr>
              <w:t>題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無的差別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分作區隔，建議評分數多者先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51F9F">
            <w:pPr>
              <w:tabs>
                <w:tab w:val="left" w:pos="25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訂有短期研修及交換學習作業要點或實施 辦法，以及選課與成績認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定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E51F9F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="00BE725C"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無填報、無提供佐證資料、佐證資料與指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0C0996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研發處</w:t>
            </w:r>
            <w:r w:rsidRPr="00E030AA">
              <w:rPr>
                <w:rFonts w:ascii="新細明體" w:eastAsia="新細明體" w:hAnsi="新細明體" w:cs="細明體" w:hint="eastAsia"/>
                <w:color w:val="FF0000"/>
                <w:sz w:val="24"/>
                <w:szCs w:val="24"/>
                <w:lang w:eastAsia="zh-TW"/>
              </w:rPr>
              <w:t>、</w:t>
            </w: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國際交流中心</w:t>
            </w:r>
          </w:p>
        </w:tc>
      </w:tr>
    </w:tbl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  <w:lang w:eastAsia="zh-TW"/>
        </w:rPr>
      </w:pPr>
    </w:p>
    <w:p w:rsidR="00F5299E" w:rsidRPr="00BE725C" w:rsidRDefault="00DB69AF" w:rsidP="00E82339">
      <w:pPr>
        <w:spacing w:before="100" w:beforeAutospacing="1" w:after="100" w:afterAutospacing="1"/>
        <w:contextualSpacing/>
        <w:mirrorIndents/>
        <w:jc w:val="center"/>
        <w:rPr>
          <w:rFonts w:ascii="標楷體" w:eastAsia="標楷體" w:hAnsi="標楷體" w:cs="Calibri"/>
          <w:sz w:val="24"/>
          <w:szCs w:val="24"/>
        </w:rPr>
        <w:sectPr w:rsidR="00F5299E" w:rsidRPr="00BE725C">
          <w:pgSz w:w="11920" w:h="16840"/>
          <w:pgMar w:top="1380" w:right="800" w:bottom="280" w:left="1120" w:header="729" w:footer="0" w:gutter="0"/>
          <w:cols w:space="720"/>
        </w:sectPr>
      </w:pPr>
      <w:r w:rsidRPr="00BE725C">
        <w:rPr>
          <w:rFonts w:ascii="標楷體" w:eastAsia="標楷體" w:hAnsi="標楷體" w:cs="Calibri"/>
          <w:w w:val="99"/>
          <w:sz w:val="24"/>
          <w:szCs w:val="24"/>
        </w:rPr>
        <w:t>11</w:t>
      </w: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2"/>
        <w:gridCol w:w="1462"/>
        <w:gridCol w:w="4605"/>
        <w:gridCol w:w="869"/>
      </w:tblGrid>
      <w:tr w:rsidR="00BE725C" w:rsidRPr="00BE725C" w:rsidTr="00BE725C">
        <w:trPr>
          <w:trHeight w:hRule="exact" w:val="730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標內含無關、未訂有短期研修及交換學習 作業要點或實施辦法者，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</w:tr>
      <w:tr w:rsidR="00BE725C" w:rsidRPr="00BE725C" w:rsidTr="00BE725C">
        <w:trPr>
          <w:trHeight w:hRule="exact" w:val="325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提供特色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招生及研習機會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 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51F9F">
            <w:pPr>
              <w:tabs>
                <w:tab w:val="left" w:pos="25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辦理海外學習活動之宣導座談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會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(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提供海 外特色招生及海外研修、交換或留遊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學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機 會等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)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51F9F">
            <w:pPr>
              <w:tabs>
                <w:tab w:val="left" w:pos="25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無填報、無提供佐證資料、佐證資料與指 標內含無關、無提供海外特色招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生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或研習 機會者，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0C0996" w:rsidP="00E82339">
            <w:pPr>
              <w:tabs>
                <w:tab w:val="left" w:pos="50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國際交流中心</w:t>
            </w:r>
          </w:p>
        </w:tc>
      </w:tr>
      <w:tr w:rsidR="00BE725C" w:rsidRPr="00BE725C" w:rsidTr="00BE725C">
        <w:trPr>
          <w:trHeight w:hRule="exact" w:val="325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海外實習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輔導相關單位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有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u w:val="single" w:color="000000"/>
                <w:lang w:eastAsia="zh-TW"/>
              </w:rPr>
              <w:t>/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無的差別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分及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分作區隔，建議評分數多者 先列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:</w:t>
            </w:r>
          </w:p>
          <w:p w:rsidR="00BE725C" w:rsidRPr="00BE725C" w:rsidRDefault="00BE725C" w:rsidP="00E51F9F">
            <w:pPr>
              <w:tabs>
                <w:tab w:val="left" w:pos="375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學校設有專責海外實習輔導單位，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並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提供 畢業生海外實習媒合機會及相關資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訊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 xml:space="preserve">3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51F9F">
            <w:pPr>
              <w:tabs>
                <w:tab w:val="left" w:pos="375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無填報、無提供佐證資料、佐證資料與指 標內含無關、無提供畢業生海外實習媒合 機會及相關資訊者，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0C0996" w:rsidP="00E82339">
            <w:pPr>
              <w:tabs>
                <w:tab w:val="left" w:pos="500"/>
              </w:tabs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研發處</w:t>
            </w:r>
          </w:p>
        </w:tc>
      </w:tr>
      <w:tr w:rsidR="00BE725C" w:rsidRPr="00BE725C" w:rsidTr="00BE725C">
        <w:trPr>
          <w:trHeight w:hRule="exact" w:val="3794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E725C" w:rsidRPr="00BE725C" w:rsidRDefault="00BE725C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海外實習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>行前說明會、相關法規</w:t>
            </w:r>
            <w:r w:rsidRPr="00BE725C">
              <w:rPr>
                <w:rFonts w:ascii="標楷體" w:eastAsia="標楷體" w:hAnsi="標楷體" w:cs="細明體"/>
                <w:spacing w:val="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諮詢及分享機制， </w:t>
            </w:r>
            <w:r w:rsidRPr="00BE725C">
              <w:rPr>
                <w:rFonts w:ascii="標楷體" w:eastAsia="標楷體" w:hAnsi="標楷體" w:cs="細明體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此題為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u w:val="single" w:color="000000"/>
                <w:lang w:eastAsia="zh-TW"/>
              </w:rPr>
              <w:t xml:space="preserve"> 程度的差</w:t>
            </w:r>
            <w:r w:rsidRPr="00BE725C">
              <w:rPr>
                <w:rFonts w:ascii="標楷體" w:eastAsia="標楷體" w:hAnsi="標楷體" w:cs="細明體"/>
                <w:spacing w:val="-2"/>
                <w:sz w:val="24"/>
                <w:szCs w:val="24"/>
                <w:u w:val="single" w:color="000000"/>
                <w:lang w:eastAsia="zh-TW"/>
              </w:rPr>
              <w:t>別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，可以</w:t>
            </w:r>
            <w:r w:rsidRPr="00BE725C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pacing w:val="1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-2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分作區隔，</w:t>
            </w:r>
          </w:p>
          <w:p w:rsidR="00BE725C" w:rsidRPr="00BE725C" w:rsidRDefault="00BE725C" w:rsidP="00E82339">
            <w:pPr>
              <w:tabs>
                <w:tab w:val="left" w:pos="50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同時符合辦理海外實習行前說明會、提供 海外實習安全法規諮詢及辦理座談會，具 備學生分享海外實習經驗機制者</w:t>
            </w:r>
            <w:r w:rsidRPr="00BE725C">
              <w:rPr>
                <w:rFonts w:ascii="標楷體" w:eastAsia="標楷體" w:hAnsi="標楷體" w:cs="細明體"/>
                <w:spacing w:val="1"/>
                <w:sz w:val="24"/>
                <w:szCs w:val="24"/>
                <w:lang w:eastAsia="zh-TW"/>
              </w:rPr>
              <w:t>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82339">
            <w:pPr>
              <w:tabs>
                <w:tab w:val="left" w:pos="50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2.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僅辦理上述海外實習相關活動及諮詢，無 分享機制者，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1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  <w:p w:rsidR="00BE725C" w:rsidRPr="00BE725C" w:rsidRDefault="00BE725C" w:rsidP="00E82339">
            <w:pPr>
              <w:tabs>
                <w:tab w:val="left" w:pos="50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3.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ab/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無填報、無提供佐證資料或佐證資料與指 標內涵無關，或未辦理任何海外實習活動 者，</w:t>
            </w:r>
            <w:r w:rsidRPr="00BE725C">
              <w:rPr>
                <w:rFonts w:ascii="標楷體" w:eastAsia="標楷體" w:hAnsi="標楷體" w:cs="BatangChe"/>
                <w:sz w:val="24"/>
                <w:szCs w:val="24"/>
                <w:lang w:eastAsia="zh-TW"/>
              </w:rPr>
              <w:t>0</w:t>
            </w:r>
            <w:r w:rsidRPr="00BE725C">
              <w:rPr>
                <w:rFonts w:ascii="標楷體" w:eastAsia="標楷體" w:hAnsi="標楷體" w:cs="BatangChe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分。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725C" w:rsidRPr="00E030AA" w:rsidRDefault="000C0996" w:rsidP="00E82339">
            <w:pPr>
              <w:tabs>
                <w:tab w:val="left" w:pos="500"/>
              </w:tabs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 w:cs="細明體"/>
                <w:color w:val="FF0000"/>
                <w:sz w:val="24"/>
                <w:szCs w:val="24"/>
                <w:lang w:eastAsia="zh-TW"/>
              </w:rPr>
            </w:pPr>
            <w:r w:rsidRPr="00E030AA">
              <w:rPr>
                <w:rFonts w:ascii="標楷體" w:eastAsia="標楷體" w:hAnsi="標楷體" w:cs="細明體" w:hint="eastAsia"/>
                <w:color w:val="FF0000"/>
                <w:sz w:val="24"/>
                <w:szCs w:val="24"/>
                <w:lang w:eastAsia="zh-TW"/>
              </w:rPr>
              <w:t>研發處</w:t>
            </w:r>
          </w:p>
        </w:tc>
      </w:tr>
      <w:tr w:rsidR="00F5299E" w:rsidRPr="00BE725C" w:rsidTr="00BE725C">
        <w:trPr>
          <w:trHeight w:hRule="exact" w:val="372"/>
        </w:trPr>
        <w:tc>
          <w:tcPr>
            <w:tcW w:w="429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99E" w:rsidRPr="00BE725C" w:rsidRDefault="00DB69AF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BatangChe"/>
                <w:sz w:val="24"/>
                <w:szCs w:val="24"/>
              </w:rPr>
            </w:pPr>
            <w:r w:rsidRPr="00BE725C">
              <w:rPr>
                <w:rFonts w:ascii="標楷體" w:eastAsia="標楷體" w:hAnsi="標楷體" w:cs="細明體"/>
                <w:spacing w:val="2"/>
                <w:w w:val="99"/>
                <w:position w:val="-1"/>
                <w:sz w:val="24"/>
                <w:szCs w:val="24"/>
              </w:rPr>
              <w:t>訪</w:t>
            </w:r>
            <w:r w:rsidRPr="00BE725C">
              <w:rPr>
                <w:rFonts w:ascii="標楷體" w:eastAsia="標楷體" w:hAnsi="標楷體" w:cs="細明體"/>
                <w:w w:val="99"/>
                <w:position w:val="-1"/>
                <w:sz w:val="24"/>
                <w:szCs w:val="24"/>
              </w:rPr>
              <w:t>視</w:t>
            </w:r>
            <w:r w:rsidRPr="00BE725C">
              <w:rPr>
                <w:rFonts w:ascii="標楷體" w:eastAsia="標楷體" w:hAnsi="標楷體" w:cs="細明體"/>
                <w:spacing w:val="2"/>
                <w:w w:val="99"/>
                <w:position w:val="-1"/>
                <w:sz w:val="24"/>
                <w:szCs w:val="24"/>
              </w:rPr>
              <w:t>細</w:t>
            </w:r>
            <w:r w:rsidRPr="00BE725C">
              <w:rPr>
                <w:rFonts w:ascii="標楷體" w:eastAsia="標楷體" w:hAnsi="標楷體" w:cs="細明體"/>
                <w:w w:val="99"/>
                <w:position w:val="-1"/>
                <w:sz w:val="24"/>
                <w:szCs w:val="24"/>
              </w:rPr>
              <w:t>項</w:t>
            </w:r>
            <w:r w:rsidRPr="00BE725C">
              <w:rPr>
                <w:rFonts w:ascii="標楷體" w:eastAsia="標楷體" w:hAnsi="標楷體" w:cs="細明體"/>
                <w:spacing w:val="-78"/>
                <w:position w:val="-1"/>
                <w:sz w:val="24"/>
                <w:szCs w:val="24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pacing w:val="1"/>
                <w:w w:val="99"/>
                <w:position w:val="-1"/>
                <w:sz w:val="24"/>
                <w:szCs w:val="24"/>
              </w:rPr>
              <w:t>2</w:t>
            </w:r>
            <w:r w:rsidRPr="00BE725C">
              <w:rPr>
                <w:rFonts w:ascii="標楷體" w:eastAsia="標楷體" w:hAnsi="標楷體" w:cs="BatangChe"/>
                <w:w w:val="99"/>
                <w:position w:val="-1"/>
                <w:sz w:val="24"/>
                <w:szCs w:val="24"/>
              </w:rPr>
              <w:t>2</w:t>
            </w:r>
            <w:r w:rsidRPr="00BE725C">
              <w:rPr>
                <w:rFonts w:ascii="標楷體" w:eastAsia="標楷體" w:hAnsi="標楷體" w:cs="BatangChe"/>
                <w:spacing w:val="-80"/>
                <w:position w:val="-1"/>
                <w:sz w:val="24"/>
                <w:szCs w:val="24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w w:val="99"/>
                <w:position w:val="-1"/>
                <w:sz w:val="24"/>
                <w:szCs w:val="24"/>
              </w:rPr>
              <w:t>個占</w:t>
            </w:r>
            <w:r w:rsidRPr="00BE725C">
              <w:rPr>
                <w:rFonts w:ascii="標楷體" w:eastAsia="標楷體" w:hAnsi="標楷體" w:cs="細明體"/>
                <w:spacing w:val="-78"/>
                <w:position w:val="-1"/>
                <w:sz w:val="24"/>
                <w:szCs w:val="24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pacing w:val="1"/>
                <w:position w:val="-1"/>
                <w:sz w:val="24"/>
                <w:szCs w:val="24"/>
              </w:rPr>
              <w:t>100%</w:t>
            </w:r>
          </w:p>
        </w:tc>
        <w:tc>
          <w:tcPr>
            <w:tcW w:w="5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99E" w:rsidRPr="00BE725C" w:rsidRDefault="00DB69AF" w:rsidP="00E82339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 w:cs="細明體"/>
                <w:sz w:val="24"/>
                <w:szCs w:val="24"/>
              </w:rPr>
            </w:pPr>
            <w:r w:rsidRPr="00BE725C">
              <w:rPr>
                <w:rFonts w:ascii="標楷體" w:eastAsia="標楷體" w:hAnsi="標楷體" w:cs="細明體"/>
                <w:spacing w:val="2"/>
                <w:w w:val="99"/>
                <w:position w:val="-1"/>
                <w:sz w:val="24"/>
                <w:szCs w:val="24"/>
              </w:rPr>
              <w:t>訪</w:t>
            </w:r>
            <w:r w:rsidRPr="00BE725C">
              <w:rPr>
                <w:rFonts w:ascii="標楷體" w:eastAsia="標楷體" w:hAnsi="標楷體" w:cs="細明體"/>
                <w:w w:val="99"/>
                <w:position w:val="-1"/>
                <w:sz w:val="24"/>
                <w:szCs w:val="24"/>
              </w:rPr>
              <w:t>視</w:t>
            </w:r>
            <w:r w:rsidRPr="00BE725C">
              <w:rPr>
                <w:rFonts w:ascii="標楷體" w:eastAsia="標楷體" w:hAnsi="標楷體" w:cs="細明體"/>
                <w:spacing w:val="2"/>
                <w:w w:val="99"/>
                <w:position w:val="-1"/>
                <w:sz w:val="24"/>
                <w:szCs w:val="24"/>
              </w:rPr>
              <w:t>指標</w:t>
            </w:r>
            <w:r w:rsidRPr="00BE725C">
              <w:rPr>
                <w:rFonts w:ascii="標楷體" w:eastAsia="標楷體" w:hAnsi="標楷體" w:cs="細明體"/>
                <w:w w:val="99"/>
                <w:position w:val="-1"/>
                <w:sz w:val="24"/>
                <w:szCs w:val="24"/>
              </w:rPr>
              <w:t>計</w:t>
            </w:r>
            <w:r w:rsidRPr="00BE725C">
              <w:rPr>
                <w:rFonts w:ascii="標楷體" w:eastAsia="標楷體" w:hAnsi="標楷體" w:cs="細明體"/>
                <w:spacing w:val="-78"/>
                <w:position w:val="-1"/>
                <w:sz w:val="24"/>
                <w:szCs w:val="24"/>
              </w:rPr>
              <w:t xml:space="preserve"> </w:t>
            </w:r>
            <w:r w:rsidRPr="00BE725C">
              <w:rPr>
                <w:rFonts w:ascii="標楷體" w:eastAsia="標楷體" w:hAnsi="標楷體" w:cs="BatangChe"/>
                <w:spacing w:val="1"/>
                <w:w w:val="99"/>
                <w:position w:val="-1"/>
                <w:sz w:val="24"/>
                <w:szCs w:val="24"/>
              </w:rPr>
              <w:t>4</w:t>
            </w:r>
            <w:r w:rsidRPr="00BE725C">
              <w:rPr>
                <w:rFonts w:ascii="標楷體" w:eastAsia="標楷體" w:hAnsi="標楷體" w:cs="BatangChe"/>
                <w:w w:val="99"/>
                <w:position w:val="-1"/>
                <w:sz w:val="24"/>
                <w:szCs w:val="24"/>
              </w:rPr>
              <w:t>3</w:t>
            </w:r>
            <w:r w:rsidRPr="00BE725C">
              <w:rPr>
                <w:rFonts w:ascii="標楷體" w:eastAsia="標楷體" w:hAnsi="標楷體" w:cs="BatangChe"/>
                <w:spacing w:val="-81"/>
                <w:position w:val="-1"/>
                <w:sz w:val="24"/>
                <w:szCs w:val="24"/>
              </w:rPr>
              <w:t xml:space="preserve"> </w:t>
            </w:r>
            <w:r w:rsidRPr="00BE725C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項</w:t>
            </w:r>
          </w:p>
        </w:tc>
      </w:tr>
    </w:tbl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sz w:val="24"/>
          <w:szCs w:val="24"/>
        </w:rPr>
      </w:pPr>
    </w:p>
    <w:p w:rsidR="00F5299E" w:rsidRPr="00BE725C" w:rsidRDefault="00F5299E" w:rsidP="00E82339">
      <w:pPr>
        <w:spacing w:before="100" w:beforeAutospacing="1" w:after="100" w:afterAutospacing="1"/>
        <w:contextualSpacing/>
        <w:mirrorIndents/>
        <w:rPr>
          <w:rFonts w:ascii="標楷體" w:eastAsia="標楷體" w:hAnsi="標楷體" w:cs="Calibri"/>
          <w:sz w:val="24"/>
          <w:szCs w:val="24"/>
          <w:lang w:eastAsia="zh-TW"/>
        </w:rPr>
      </w:pPr>
    </w:p>
    <w:sectPr w:rsidR="00F5299E" w:rsidRPr="00BE725C">
      <w:pgSz w:w="11920" w:h="16840"/>
      <w:pgMar w:top="1380" w:right="800" w:bottom="280" w:left="11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72" w:rsidRDefault="00CB5A72">
      <w:r>
        <w:separator/>
      </w:r>
    </w:p>
  </w:endnote>
  <w:endnote w:type="continuationSeparator" w:id="0">
    <w:p w:rsidR="00CB5A72" w:rsidRDefault="00CB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554495"/>
      <w:docPartObj>
        <w:docPartGallery w:val="Page Numbers (Bottom of Page)"/>
        <w:docPartUnique/>
      </w:docPartObj>
    </w:sdtPr>
    <w:sdtContent>
      <w:p w:rsidR="00435E19" w:rsidRDefault="00435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D6" w:rsidRPr="00AA31D6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435E19" w:rsidRDefault="00435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72" w:rsidRDefault="00CB5A72">
      <w:r>
        <w:separator/>
      </w:r>
    </w:p>
  </w:footnote>
  <w:footnote w:type="continuationSeparator" w:id="0">
    <w:p w:rsidR="00CB5A72" w:rsidRDefault="00CB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9E" w:rsidRDefault="00CB5A72">
    <w:pPr>
      <w:spacing w:line="200" w:lineRule="exact"/>
    </w:pPr>
    <w:r>
      <w:pict>
        <v:group id="_x0000_s2050" style="position:absolute;margin-left:62pt;margin-top:36.45pt;width:487.5pt;height:33pt;z-index:-251659264;mso-position-horizontal-relative:page;mso-position-vertical-relative:page" coordorigin="1240,729" coordsize="9750,660">
          <v:group id="_x0000_s2051" style="position:absolute;left:1262;top:1344;width:9312;height:0" coordorigin="1262,1344" coordsize="9312,0">
            <v:shape id="_x0000_s2056" style="position:absolute;left:1262;top:1344;width:9312;height:0" coordorigin="1262,1344" coordsize="9312,0" path="m1262,1344r9312,e" filled="f" strokecolor="gray" strokeweight="2.26pt">
              <v:path arrowok="t"/>
            </v:shape>
            <v:group id="_x0000_s2052" style="position:absolute;left:10596;top:751;width:0;height:614" coordorigin="10596,751" coordsize="0,614">
              <v:shape id="_x0000_s2055" style="position:absolute;left:10596;top:751;width:0;height:614" coordorigin="10596,751" coordsize="0,614" path="m10596,751r,615e" filled="f" strokecolor="gray" strokeweight="2.26pt">
                <v:path arrowok="t"/>
              </v:shape>
              <v:group id="_x0000_s2053" style="position:absolute;left:10617;top:1344;width:350;height:0" coordorigin="10617,1344" coordsize="350,0">
                <v:shape id="_x0000_s2054" style="position:absolute;left:10617;top:1344;width:350;height:0" coordorigin="10617,1344" coordsize="350,0" path="m10617,1344r351,e" filled="f" strokecolor="gray" strokeweight="2.26pt">
                  <v:path arrowok="t"/>
                </v:shape>
              </v:group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4pt;margin-top:41.9pt;width:442.5pt;height:17.95pt;z-index:-251658240;mso-position-horizontal-relative:page;mso-position-vertical-relative:page" filled="f" stroked="f">
          <v:textbox inset="0,0,0,0">
            <w:txbxContent>
              <w:p w:rsidR="00F5299E" w:rsidRDefault="00DB69AF">
                <w:pPr>
                  <w:spacing w:line="320" w:lineRule="exact"/>
                  <w:ind w:left="20" w:right="-48"/>
                  <w:rPr>
                    <w:rFonts w:ascii="細明體" w:eastAsia="細明體" w:hAnsi="細明體" w:cs="細明體"/>
                    <w:sz w:val="32"/>
                    <w:szCs w:val="32"/>
                    <w:lang w:eastAsia="zh-TW"/>
                  </w:rPr>
                </w:pPr>
                <w:r>
                  <w:rPr>
                    <w:rFonts w:ascii="BatangChe" w:eastAsia="BatangChe" w:hAnsi="BatangChe" w:cs="BatangChe"/>
                    <w:spacing w:val="1"/>
                    <w:w w:val="99"/>
                    <w:sz w:val="32"/>
                    <w:szCs w:val="32"/>
                    <w:lang w:eastAsia="zh-TW"/>
                  </w:rPr>
                  <w:t>10</w:t>
                </w:r>
                <w:r>
                  <w:rPr>
                    <w:rFonts w:ascii="BatangChe" w:eastAsia="BatangChe" w:hAnsi="BatangChe" w:cs="BatangChe"/>
                    <w:w w:val="99"/>
                    <w:sz w:val="32"/>
                    <w:szCs w:val="32"/>
                    <w:lang w:eastAsia="zh-TW"/>
                  </w:rPr>
                  <w:t>4</w:t>
                </w:r>
                <w:r>
                  <w:rPr>
                    <w:rFonts w:ascii="BatangChe" w:eastAsia="BatangChe" w:hAnsi="BatangChe" w:cs="BatangChe"/>
                    <w:spacing w:val="-80"/>
                    <w:sz w:val="32"/>
                    <w:szCs w:val="32"/>
                    <w:lang w:eastAsia="zh-TW"/>
                  </w:rPr>
                  <w:t xml:space="preserve"> </w:t>
                </w:r>
                <w:r>
                  <w:rPr>
                    <w:rFonts w:ascii="細明體" w:eastAsia="細明體" w:hAnsi="細明體" w:cs="細明體"/>
                    <w:spacing w:val="2"/>
                    <w:w w:val="99"/>
                    <w:sz w:val="32"/>
                    <w:szCs w:val="32"/>
                    <w:lang w:eastAsia="zh-TW"/>
                  </w:rPr>
                  <w:t>年</w:t>
                </w:r>
                <w:r>
                  <w:rPr>
                    <w:rFonts w:ascii="細明體" w:eastAsia="細明體" w:hAnsi="細明體" w:cs="細明體"/>
                    <w:w w:val="99"/>
                    <w:sz w:val="32"/>
                    <w:szCs w:val="32"/>
                    <w:lang w:eastAsia="zh-TW"/>
                  </w:rPr>
                  <w:t>大</w:t>
                </w:r>
                <w:r>
                  <w:rPr>
                    <w:rFonts w:ascii="細明體" w:eastAsia="細明體" w:hAnsi="細明體" w:cs="細明體"/>
                    <w:spacing w:val="2"/>
                    <w:w w:val="99"/>
                    <w:sz w:val="32"/>
                    <w:szCs w:val="32"/>
                    <w:lang w:eastAsia="zh-TW"/>
                  </w:rPr>
                  <w:t>專</w:t>
                </w:r>
                <w:r>
                  <w:rPr>
                    <w:rFonts w:ascii="細明體" w:eastAsia="細明體" w:hAnsi="細明體" w:cs="細明體"/>
                    <w:w w:val="99"/>
                    <w:sz w:val="32"/>
                    <w:szCs w:val="32"/>
                    <w:lang w:eastAsia="zh-TW"/>
                  </w:rPr>
                  <w:t>校院</w:t>
                </w:r>
                <w:r>
                  <w:rPr>
                    <w:rFonts w:ascii="細明體" w:eastAsia="細明體" w:hAnsi="細明體" w:cs="細明體"/>
                    <w:spacing w:val="2"/>
                    <w:w w:val="99"/>
                    <w:sz w:val="32"/>
                    <w:szCs w:val="32"/>
                    <w:lang w:eastAsia="zh-TW"/>
                  </w:rPr>
                  <w:t>統</w:t>
                </w:r>
                <w:r>
                  <w:rPr>
                    <w:rFonts w:ascii="細明體" w:eastAsia="細明體" w:hAnsi="細明體" w:cs="細明體"/>
                    <w:w w:val="99"/>
                    <w:sz w:val="32"/>
                    <w:szCs w:val="32"/>
                    <w:lang w:eastAsia="zh-TW"/>
                  </w:rPr>
                  <w:t>合</w:t>
                </w:r>
                <w:r>
                  <w:rPr>
                    <w:rFonts w:ascii="細明體" w:eastAsia="細明體" w:hAnsi="細明體" w:cs="細明體"/>
                    <w:spacing w:val="2"/>
                    <w:w w:val="99"/>
                    <w:sz w:val="32"/>
                    <w:szCs w:val="32"/>
                    <w:lang w:eastAsia="zh-TW"/>
                  </w:rPr>
                  <w:t>視</w:t>
                </w:r>
                <w:r>
                  <w:rPr>
                    <w:rFonts w:ascii="細明體" w:eastAsia="細明體" w:hAnsi="細明體" w:cs="細明體"/>
                    <w:w w:val="99"/>
                    <w:sz w:val="32"/>
                    <w:szCs w:val="32"/>
                    <w:lang w:eastAsia="zh-TW"/>
                  </w:rPr>
                  <w:t>導</w:t>
                </w:r>
                <w:r>
                  <w:rPr>
                    <w:rFonts w:ascii="細明體" w:eastAsia="細明體" w:hAnsi="細明體" w:cs="細明體"/>
                    <w:spacing w:val="2"/>
                    <w:w w:val="99"/>
                    <w:sz w:val="32"/>
                    <w:szCs w:val="32"/>
                    <w:lang w:eastAsia="zh-TW"/>
                  </w:rPr>
                  <w:t>項</w:t>
                </w:r>
                <w:r>
                  <w:rPr>
                    <w:rFonts w:ascii="細明體" w:eastAsia="細明體" w:hAnsi="細明體" w:cs="細明體"/>
                    <w:w w:val="99"/>
                    <w:sz w:val="32"/>
                    <w:szCs w:val="32"/>
                    <w:lang w:eastAsia="zh-TW"/>
                  </w:rPr>
                  <w:t>目</w:t>
                </w:r>
                <w:r>
                  <w:rPr>
                    <w:rFonts w:ascii="細明體" w:eastAsia="細明體" w:hAnsi="細明體" w:cs="細明體"/>
                    <w:spacing w:val="-77"/>
                    <w:sz w:val="32"/>
                    <w:szCs w:val="32"/>
                    <w:lang w:eastAsia="zh-TW"/>
                  </w:rPr>
                  <w:t xml:space="preserve"> </w:t>
                </w:r>
                <w:r>
                  <w:rPr>
                    <w:rFonts w:ascii="BatangChe" w:eastAsia="BatangChe" w:hAnsi="BatangChe" w:cs="BatangChe"/>
                    <w:spacing w:val="1"/>
                    <w:sz w:val="32"/>
                    <w:szCs w:val="32"/>
                    <w:lang w:eastAsia="zh-TW"/>
                  </w:rPr>
                  <w:t>1</w:t>
                </w:r>
                <w:r>
                  <w:rPr>
                    <w:rFonts w:ascii="BatangChe" w:eastAsia="BatangChe" w:hAnsi="BatangChe" w:cs="BatangChe"/>
                    <w:spacing w:val="-1"/>
                    <w:sz w:val="32"/>
                    <w:szCs w:val="32"/>
                    <w:lang w:eastAsia="zh-TW"/>
                  </w:rPr>
                  <w:t>2</w:t>
                </w:r>
                <w:r>
                  <w:rPr>
                    <w:rFonts w:ascii="BatangChe" w:eastAsia="BatangChe" w:hAnsi="BatangChe" w:cs="BatangChe"/>
                    <w:spacing w:val="2"/>
                    <w:sz w:val="32"/>
                    <w:szCs w:val="32"/>
                    <w:lang w:eastAsia="zh-TW"/>
                  </w:rPr>
                  <w:t>:</w:t>
                </w:r>
                <w:r>
                  <w:rPr>
                    <w:rFonts w:ascii="細明體" w:eastAsia="細明體" w:hAnsi="細明體" w:cs="細明體"/>
                    <w:spacing w:val="2"/>
                    <w:sz w:val="32"/>
                    <w:szCs w:val="32"/>
                    <w:lang w:eastAsia="zh-TW"/>
                  </w:rPr>
                  <w:t>大</w:t>
                </w:r>
                <w:r>
                  <w:rPr>
                    <w:rFonts w:ascii="細明體" w:eastAsia="細明體" w:hAnsi="細明體" w:cs="細明體"/>
                    <w:sz w:val="32"/>
                    <w:szCs w:val="32"/>
                    <w:lang w:eastAsia="zh-TW"/>
                  </w:rPr>
                  <w:t>專</w:t>
                </w:r>
                <w:r>
                  <w:rPr>
                    <w:rFonts w:ascii="細明體" w:eastAsia="細明體" w:hAnsi="細明體" w:cs="細明體"/>
                    <w:spacing w:val="2"/>
                    <w:sz w:val="32"/>
                    <w:szCs w:val="32"/>
                    <w:lang w:eastAsia="zh-TW"/>
                  </w:rPr>
                  <w:t>校</w:t>
                </w:r>
                <w:r>
                  <w:rPr>
                    <w:rFonts w:ascii="細明體" w:eastAsia="細明體" w:hAnsi="細明體" w:cs="細明體"/>
                    <w:sz w:val="32"/>
                    <w:szCs w:val="32"/>
                    <w:lang w:eastAsia="zh-TW"/>
                  </w:rPr>
                  <w:t>院</w:t>
                </w:r>
                <w:r>
                  <w:rPr>
                    <w:rFonts w:ascii="細明體" w:eastAsia="細明體" w:hAnsi="細明體" w:cs="細明體"/>
                    <w:spacing w:val="2"/>
                    <w:sz w:val="32"/>
                    <w:szCs w:val="32"/>
                    <w:lang w:eastAsia="zh-TW"/>
                  </w:rPr>
                  <w:t>國</w:t>
                </w:r>
                <w:r>
                  <w:rPr>
                    <w:rFonts w:ascii="細明體" w:eastAsia="細明體" w:hAnsi="細明體" w:cs="細明體"/>
                    <w:sz w:val="32"/>
                    <w:szCs w:val="32"/>
                    <w:lang w:eastAsia="zh-TW"/>
                  </w:rPr>
                  <w:t>際化</w:t>
                </w:r>
                <w:r>
                  <w:rPr>
                    <w:rFonts w:ascii="細明體" w:eastAsia="細明體" w:hAnsi="細明體" w:cs="細明體"/>
                    <w:spacing w:val="2"/>
                    <w:sz w:val="32"/>
                    <w:szCs w:val="32"/>
                    <w:lang w:eastAsia="zh-TW"/>
                  </w:rPr>
                  <w:t>品</w:t>
                </w:r>
                <w:r>
                  <w:rPr>
                    <w:rFonts w:ascii="細明體" w:eastAsia="細明體" w:hAnsi="細明體" w:cs="細明體"/>
                    <w:sz w:val="32"/>
                    <w:szCs w:val="32"/>
                    <w:lang w:eastAsia="zh-TW"/>
                  </w:rPr>
                  <w:t>質</w:t>
                </w:r>
                <w:r>
                  <w:rPr>
                    <w:rFonts w:ascii="細明體" w:eastAsia="細明體" w:hAnsi="細明體" w:cs="細明體"/>
                    <w:spacing w:val="2"/>
                    <w:sz w:val="32"/>
                    <w:szCs w:val="32"/>
                    <w:lang w:eastAsia="zh-TW"/>
                  </w:rPr>
                  <w:t>補</w:t>
                </w:r>
                <w:r>
                  <w:rPr>
                    <w:rFonts w:ascii="細明體" w:eastAsia="細明體" w:hAnsi="細明體" w:cs="細明體"/>
                    <w:sz w:val="32"/>
                    <w:szCs w:val="32"/>
                    <w:lang w:eastAsia="zh-TW"/>
                  </w:rPr>
                  <w:t>充</w:t>
                </w:r>
                <w:r>
                  <w:rPr>
                    <w:rFonts w:ascii="細明體" w:eastAsia="細明體" w:hAnsi="細明體" w:cs="細明體"/>
                    <w:spacing w:val="2"/>
                    <w:sz w:val="32"/>
                    <w:szCs w:val="32"/>
                    <w:lang w:eastAsia="zh-TW"/>
                  </w:rPr>
                  <w:t>說</w:t>
                </w:r>
                <w:r>
                  <w:rPr>
                    <w:rFonts w:ascii="細明體" w:eastAsia="細明體" w:hAnsi="細明體" w:cs="細明體"/>
                    <w:sz w:val="32"/>
                    <w:szCs w:val="32"/>
                    <w:lang w:eastAsia="zh-TW"/>
                  </w:rPr>
                  <w:t>明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579E"/>
    <w:multiLevelType w:val="multilevel"/>
    <w:tmpl w:val="FCBA21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99E"/>
    <w:rsid w:val="00061DB0"/>
    <w:rsid w:val="00080DBF"/>
    <w:rsid w:val="0008553E"/>
    <w:rsid w:val="000C0996"/>
    <w:rsid w:val="001F2334"/>
    <w:rsid w:val="00435E19"/>
    <w:rsid w:val="0094575F"/>
    <w:rsid w:val="00A020F0"/>
    <w:rsid w:val="00A55099"/>
    <w:rsid w:val="00AA31D6"/>
    <w:rsid w:val="00AC4513"/>
    <w:rsid w:val="00B35E7D"/>
    <w:rsid w:val="00BE725C"/>
    <w:rsid w:val="00CB5A72"/>
    <w:rsid w:val="00DB69AF"/>
    <w:rsid w:val="00E030AA"/>
    <w:rsid w:val="00E51F9F"/>
    <w:rsid w:val="00E82339"/>
    <w:rsid w:val="00F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E725C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E725C"/>
  </w:style>
  <w:style w:type="paragraph" w:styleId="a5">
    <w:name w:val="footer"/>
    <w:basedOn w:val="a"/>
    <w:link w:val="a6"/>
    <w:uiPriority w:val="99"/>
    <w:unhideWhenUsed/>
    <w:rsid w:val="00BE725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E7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CE07-FB42-4710-8298-4E823640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秘書室</cp:lastModifiedBy>
  <cp:revision>8</cp:revision>
  <dcterms:created xsi:type="dcterms:W3CDTF">2015-02-11T05:49:00Z</dcterms:created>
  <dcterms:modified xsi:type="dcterms:W3CDTF">2015-02-12T05:51:00Z</dcterms:modified>
</cp:coreProperties>
</file>